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7EA" w:rsidRPr="0041244C" w:rsidRDefault="007C1AF1" w:rsidP="005857EA">
      <w:pPr>
        <w:spacing w:line="400" w:lineRule="exact"/>
        <w:jc w:val="center"/>
        <w:rPr>
          <w:rFonts w:ascii="黑体" w:eastAsia="黑体" w:hAnsi="黑体"/>
          <w:b/>
          <w:sz w:val="30"/>
          <w:szCs w:val="30"/>
        </w:rPr>
      </w:pPr>
      <w:bookmarkStart w:id="0" w:name="_Toc341981674"/>
      <w:r w:rsidRPr="0041244C">
        <w:rPr>
          <w:rFonts w:ascii="黑体" w:eastAsia="黑体" w:hAnsi="黑体"/>
          <w:b/>
          <w:sz w:val="30"/>
          <w:szCs w:val="30"/>
        </w:rPr>
        <w:t>中国对</w:t>
      </w:r>
      <w:r w:rsidR="00A53589" w:rsidRPr="0041244C">
        <w:rPr>
          <w:rFonts w:ascii="黑体" w:eastAsia="黑体" w:hAnsi="黑体" w:hint="eastAsia"/>
          <w:b/>
          <w:sz w:val="30"/>
          <w:szCs w:val="30"/>
        </w:rPr>
        <w:t>上海合作</w:t>
      </w:r>
      <w:r w:rsidR="005857EA" w:rsidRPr="0041244C">
        <w:rPr>
          <w:rFonts w:ascii="黑体" w:eastAsia="黑体" w:hAnsi="黑体"/>
          <w:b/>
          <w:sz w:val="30"/>
          <w:szCs w:val="30"/>
        </w:rPr>
        <w:t>组织国家投资</w:t>
      </w:r>
      <w:r w:rsidRPr="0041244C">
        <w:rPr>
          <w:rFonts w:ascii="黑体" w:eastAsia="黑体" w:hAnsi="黑体"/>
          <w:b/>
          <w:sz w:val="30"/>
          <w:szCs w:val="30"/>
        </w:rPr>
        <w:t>效率</w:t>
      </w:r>
      <w:r w:rsidR="005857EA" w:rsidRPr="0041244C">
        <w:rPr>
          <w:rFonts w:ascii="黑体" w:eastAsia="黑体" w:hAnsi="黑体"/>
          <w:b/>
          <w:sz w:val="30"/>
          <w:szCs w:val="30"/>
        </w:rPr>
        <w:t>研究</w:t>
      </w:r>
    </w:p>
    <w:p w:rsidR="005857EA" w:rsidRPr="0041244C" w:rsidRDefault="005857EA" w:rsidP="005857EA">
      <w:pPr>
        <w:spacing w:line="400" w:lineRule="exact"/>
        <w:jc w:val="center"/>
        <w:rPr>
          <w:rFonts w:ascii="黑体" w:eastAsia="黑体" w:hAnsi="黑体"/>
          <w:b/>
          <w:sz w:val="30"/>
          <w:szCs w:val="30"/>
        </w:rPr>
      </w:pPr>
      <w:r w:rsidRPr="0041244C">
        <w:rPr>
          <w:rFonts w:ascii="黑体" w:eastAsia="黑体" w:hAnsi="黑体"/>
          <w:b/>
          <w:sz w:val="30"/>
          <w:szCs w:val="30"/>
        </w:rPr>
        <w:t>——基于</w:t>
      </w:r>
      <w:r w:rsidR="007C1AF1" w:rsidRPr="0041244C">
        <w:rPr>
          <w:rFonts w:ascii="黑体" w:eastAsia="黑体" w:hAnsi="黑体"/>
          <w:b/>
          <w:sz w:val="30"/>
          <w:szCs w:val="30"/>
        </w:rPr>
        <w:t>DEA-面板</w:t>
      </w:r>
      <w:proofErr w:type="spellStart"/>
      <w:r w:rsidR="007C1AF1" w:rsidRPr="0041244C">
        <w:rPr>
          <w:rFonts w:ascii="黑体" w:eastAsia="黑体" w:hAnsi="黑体"/>
          <w:b/>
          <w:sz w:val="30"/>
          <w:szCs w:val="30"/>
        </w:rPr>
        <w:t>Tobit</w:t>
      </w:r>
      <w:proofErr w:type="spellEnd"/>
      <w:r w:rsidR="007C1AF1" w:rsidRPr="0041244C">
        <w:rPr>
          <w:rFonts w:ascii="黑体" w:eastAsia="黑体" w:hAnsi="黑体"/>
          <w:b/>
          <w:sz w:val="30"/>
          <w:szCs w:val="30"/>
        </w:rPr>
        <w:t>的实证分析</w:t>
      </w:r>
    </w:p>
    <w:p w:rsidR="005857EA" w:rsidRDefault="005857EA" w:rsidP="005857EA">
      <w:pPr>
        <w:spacing w:line="400" w:lineRule="exact"/>
        <w:jc w:val="center"/>
        <w:rPr>
          <w:rFonts w:ascii="方正大标宋简体" w:eastAsia="方正大标宋简体" w:hAnsi="Arial"/>
          <w:sz w:val="32"/>
          <w:szCs w:val="32"/>
        </w:rPr>
      </w:pPr>
    </w:p>
    <w:p w:rsidR="001F1048" w:rsidRPr="002B4CC3" w:rsidRDefault="002B4CC3" w:rsidP="002B4CC3">
      <w:pPr>
        <w:ind w:firstLine="420"/>
        <w:jc w:val="center"/>
        <w:rPr>
          <w:rFonts w:ascii="楷体" w:eastAsia="楷体" w:hAnsi="楷体"/>
          <w:sz w:val="24"/>
        </w:rPr>
      </w:pPr>
      <w:r>
        <w:rPr>
          <w:rFonts w:ascii="楷体" w:eastAsia="楷体" w:hAnsi="楷体" w:hint="eastAsia"/>
          <w:sz w:val="24"/>
        </w:rPr>
        <w:t>郭晓琼</w:t>
      </w:r>
      <w:bookmarkEnd w:id="0"/>
      <w:r w:rsidR="00DA75AD">
        <w:rPr>
          <w:rFonts w:ascii="楷体" w:eastAsia="楷体" w:hAnsi="楷体" w:hint="eastAsia"/>
          <w:sz w:val="24"/>
        </w:rPr>
        <w:t>、蔡真</w:t>
      </w:r>
      <w:r w:rsidR="00D964C5">
        <w:rPr>
          <w:rStyle w:val="a8"/>
          <w:rFonts w:ascii="楷体" w:eastAsia="楷体" w:hAnsi="楷体"/>
          <w:sz w:val="24"/>
        </w:rPr>
        <w:footnoteReference w:id="1"/>
      </w:r>
    </w:p>
    <w:p w:rsidR="00D964C5" w:rsidRPr="00D964C5" w:rsidRDefault="00D964C5" w:rsidP="005857EA">
      <w:pPr>
        <w:spacing w:line="400" w:lineRule="exact"/>
        <w:jc w:val="center"/>
        <w:rPr>
          <w:lang w:val="ru-RU"/>
        </w:rPr>
      </w:pPr>
    </w:p>
    <w:p w:rsidR="001F1048" w:rsidRPr="00B11FE3" w:rsidRDefault="00D964C5" w:rsidP="00384527">
      <w:pPr>
        <w:spacing w:line="400" w:lineRule="exact"/>
        <w:ind w:firstLineChars="200" w:firstLine="480"/>
        <w:rPr>
          <w:rFonts w:ascii="宋体" w:hAnsi="宋体"/>
          <w:szCs w:val="21"/>
        </w:rPr>
      </w:pPr>
      <w:r w:rsidRPr="00384527">
        <w:rPr>
          <w:rFonts w:ascii="黑体" w:eastAsia="黑体" w:hAnsi="黑体" w:hint="eastAsia"/>
          <w:sz w:val="24"/>
        </w:rPr>
        <w:t>摘要：</w:t>
      </w:r>
      <w:r w:rsidR="001F1048" w:rsidRPr="00B11FE3">
        <w:rPr>
          <w:rFonts w:ascii="宋体" w:hAnsi="宋体" w:hint="eastAsia"/>
          <w:szCs w:val="21"/>
        </w:rPr>
        <w:t>中国的基础设施投资以加强区域经济联系为目标，为区域价值合作奠定基础。</w:t>
      </w:r>
      <w:r w:rsidRPr="00B11FE3">
        <w:rPr>
          <w:rFonts w:ascii="宋体" w:hAnsi="宋体" w:hint="eastAsia"/>
          <w:szCs w:val="21"/>
        </w:rPr>
        <w:t>本文</w:t>
      </w:r>
      <w:r w:rsidR="001F1048" w:rsidRPr="00B11FE3">
        <w:rPr>
          <w:rFonts w:ascii="宋体" w:hAnsi="宋体" w:hint="eastAsia"/>
          <w:szCs w:val="21"/>
        </w:rPr>
        <w:t>以</w:t>
      </w:r>
      <w:r w:rsidR="00384527" w:rsidRPr="00B11FE3">
        <w:rPr>
          <w:rFonts w:ascii="宋体" w:hAnsi="宋体" w:hint="eastAsia"/>
          <w:szCs w:val="21"/>
        </w:rPr>
        <w:t>上海合作组织</w:t>
      </w:r>
      <w:r w:rsidR="001F1048" w:rsidRPr="00B11FE3">
        <w:rPr>
          <w:rFonts w:ascii="宋体" w:hAnsi="宋体" w:hint="eastAsia"/>
          <w:szCs w:val="21"/>
        </w:rPr>
        <w:t>国家为研究对象，以区域经济联系是否加强作为投资效率的评价目标，构建了DEA-面板</w:t>
      </w:r>
      <w:proofErr w:type="spellStart"/>
      <w:r w:rsidR="001F1048" w:rsidRPr="00B11FE3">
        <w:rPr>
          <w:rFonts w:ascii="宋体" w:hAnsi="宋体" w:hint="eastAsia"/>
          <w:szCs w:val="21"/>
        </w:rPr>
        <w:t>Tobit</w:t>
      </w:r>
      <w:proofErr w:type="spellEnd"/>
      <w:r w:rsidR="001F1048" w:rsidRPr="00B11FE3">
        <w:rPr>
          <w:rFonts w:ascii="宋体" w:hAnsi="宋体" w:hint="eastAsia"/>
          <w:szCs w:val="21"/>
        </w:rPr>
        <w:t>两阶段评价模型。定量分析结果表明：中国对</w:t>
      </w:r>
      <w:r w:rsidR="00384527" w:rsidRPr="00B11FE3">
        <w:rPr>
          <w:rFonts w:ascii="宋体" w:hAnsi="宋体" w:hint="eastAsia"/>
          <w:szCs w:val="21"/>
        </w:rPr>
        <w:t>上海合作组织</w:t>
      </w:r>
      <w:r w:rsidR="001F1048" w:rsidRPr="00B11FE3">
        <w:rPr>
          <w:rFonts w:ascii="宋体" w:hAnsi="宋体" w:hint="eastAsia"/>
          <w:szCs w:val="21"/>
        </w:rPr>
        <w:t>国家的投资大部分是有效率的，即中国的跨境投资导致了中国与</w:t>
      </w:r>
      <w:r w:rsidR="00384527" w:rsidRPr="00B11FE3">
        <w:rPr>
          <w:rFonts w:ascii="宋体" w:hAnsi="宋体" w:hint="eastAsia"/>
          <w:szCs w:val="21"/>
        </w:rPr>
        <w:t>上海合作组织</w:t>
      </w:r>
      <w:r w:rsidR="001F1048" w:rsidRPr="00B11FE3">
        <w:rPr>
          <w:rFonts w:ascii="宋体" w:hAnsi="宋体" w:hint="eastAsia"/>
          <w:szCs w:val="21"/>
        </w:rPr>
        <w:t>国家的经济联系加强，投资效率不高的国家主要</w:t>
      </w:r>
      <w:r w:rsidR="00384527" w:rsidRPr="00B11FE3">
        <w:rPr>
          <w:rFonts w:ascii="宋体" w:hAnsi="宋体" w:hint="eastAsia"/>
          <w:szCs w:val="21"/>
        </w:rPr>
        <w:t>为</w:t>
      </w:r>
      <w:r w:rsidR="001F1048" w:rsidRPr="00B11FE3">
        <w:rPr>
          <w:rFonts w:ascii="宋体" w:hAnsi="宋体" w:hint="eastAsia"/>
          <w:szCs w:val="21"/>
        </w:rPr>
        <w:t>俄罗斯；</w:t>
      </w:r>
      <w:proofErr w:type="spellStart"/>
      <w:r w:rsidR="001F1048" w:rsidRPr="00B11FE3">
        <w:rPr>
          <w:rFonts w:ascii="宋体" w:hAnsi="宋体" w:hint="eastAsia"/>
          <w:szCs w:val="21"/>
        </w:rPr>
        <w:t>Malmquist</w:t>
      </w:r>
      <w:proofErr w:type="spellEnd"/>
      <w:r w:rsidR="001F1048" w:rsidRPr="00B11FE3">
        <w:rPr>
          <w:rFonts w:ascii="宋体" w:hAnsi="宋体" w:hint="eastAsia"/>
          <w:szCs w:val="21"/>
        </w:rPr>
        <w:t>指数分解表明，“一带一路”战略实施后中国的投资效率高于战略实施前，这说明政策是有效的；面板</w:t>
      </w:r>
      <w:proofErr w:type="spellStart"/>
      <w:r w:rsidR="001F1048" w:rsidRPr="00B11FE3">
        <w:rPr>
          <w:rFonts w:ascii="宋体" w:hAnsi="宋体" w:hint="eastAsia"/>
          <w:szCs w:val="21"/>
        </w:rPr>
        <w:t>Tobit</w:t>
      </w:r>
      <w:proofErr w:type="spellEnd"/>
      <w:r w:rsidR="001F1048" w:rsidRPr="00B11FE3">
        <w:rPr>
          <w:rFonts w:ascii="宋体" w:hAnsi="宋体" w:hint="eastAsia"/>
          <w:szCs w:val="21"/>
        </w:rPr>
        <w:t>分析表明，影响投资效率的因素</w:t>
      </w:r>
      <w:r w:rsidR="00384527" w:rsidRPr="00B11FE3">
        <w:rPr>
          <w:rFonts w:ascii="宋体" w:hAnsi="宋体" w:hint="eastAsia"/>
          <w:szCs w:val="21"/>
        </w:rPr>
        <w:t>主要为</w:t>
      </w:r>
      <w:r w:rsidR="001F1048" w:rsidRPr="00B11FE3">
        <w:rPr>
          <w:rFonts w:ascii="宋体" w:hAnsi="宋体" w:hint="eastAsia"/>
          <w:szCs w:val="21"/>
        </w:rPr>
        <w:t>投资国的投资者保护政策和破产问题解决政策。</w:t>
      </w:r>
    </w:p>
    <w:p w:rsidR="001F1048" w:rsidRPr="00384527" w:rsidRDefault="001F1048" w:rsidP="00384527">
      <w:pPr>
        <w:spacing w:line="400" w:lineRule="exact"/>
        <w:ind w:firstLineChars="200" w:firstLine="480"/>
        <w:rPr>
          <w:rFonts w:ascii="宋体" w:hAnsi="宋体" w:hint="eastAsia"/>
          <w:sz w:val="24"/>
        </w:rPr>
      </w:pPr>
      <w:r w:rsidRPr="00384527">
        <w:rPr>
          <w:rFonts w:ascii="黑体" w:eastAsia="黑体" w:hAnsi="黑体" w:hint="eastAsia"/>
          <w:sz w:val="24"/>
        </w:rPr>
        <w:t>关键词</w:t>
      </w:r>
      <w:r w:rsidR="00D964C5" w:rsidRPr="00384527">
        <w:rPr>
          <w:rFonts w:ascii="黑体" w:eastAsia="黑体" w:hAnsi="黑体" w:hint="eastAsia"/>
          <w:sz w:val="24"/>
        </w:rPr>
        <w:t>：</w:t>
      </w:r>
      <w:r w:rsidRPr="0041244C">
        <w:rPr>
          <w:rFonts w:ascii="楷体" w:eastAsia="楷体" w:hAnsi="楷体" w:hint="eastAsia"/>
          <w:szCs w:val="21"/>
        </w:rPr>
        <w:t>区域价值合作网络  投资效率  DEA评价  面板Tobit模型</w:t>
      </w:r>
    </w:p>
    <w:p w:rsidR="001F1048" w:rsidRPr="00D964C5" w:rsidRDefault="001F1048" w:rsidP="006521A1">
      <w:pPr>
        <w:widowControl/>
        <w:adjustRightInd w:val="0"/>
        <w:spacing w:before="100" w:beforeAutospacing="1" w:after="100" w:afterAutospacing="1" w:line="400" w:lineRule="exact"/>
        <w:jc w:val="center"/>
        <w:outlineLvl w:val="0"/>
        <w:rPr>
          <w:rFonts w:ascii="黑体" w:eastAsia="黑体" w:hAnsi="黑体" w:cs="宋体"/>
          <w:b/>
          <w:kern w:val="0"/>
          <w:sz w:val="24"/>
        </w:rPr>
      </w:pPr>
      <w:r w:rsidRPr="00D964C5">
        <w:rPr>
          <w:rFonts w:ascii="黑体" w:eastAsia="黑体" w:hAnsi="黑体" w:cs="宋体" w:hint="eastAsia"/>
          <w:b/>
          <w:kern w:val="0"/>
          <w:sz w:val="24"/>
        </w:rPr>
        <w:t>一、引言：全球化重心的转移</w:t>
      </w:r>
    </w:p>
    <w:p w:rsidR="00051959" w:rsidRPr="00A425C1" w:rsidRDefault="001F1048" w:rsidP="005857EA">
      <w:pPr>
        <w:ind w:firstLine="420"/>
        <w:rPr>
          <w:rFonts w:ascii="宋体" w:hAnsi="宋体"/>
          <w:szCs w:val="21"/>
        </w:rPr>
      </w:pPr>
      <w:r w:rsidRPr="00A425C1">
        <w:rPr>
          <w:rFonts w:ascii="宋体" w:hAnsi="宋体" w:hint="eastAsia"/>
          <w:szCs w:val="21"/>
        </w:rPr>
        <w:t>20世纪90年代初，伴随着冷战结束全球化进入了前所未有的大发展阶段。这一阶段的全球化是西方国家主导的全球化，然而随着2008年全球金融危机的爆发，这场全球化大剧的原有主角也将逐渐退出舞台中心：1991年全球GDP构成中，发达国家和新兴与发展中国家占比分别为</w:t>
      </w:r>
      <w:bookmarkStart w:id="1" w:name="OLE_LINK1"/>
      <w:bookmarkStart w:id="2" w:name="OLE_LINK2"/>
      <w:r w:rsidRPr="00A425C1">
        <w:rPr>
          <w:rFonts w:ascii="宋体" w:hAnsi="宋体" w:hint="eastAsia"/>
          <w:szCs w:val="21"/>
        </w:rPr>
        <w:t>79%和21%</w:t>
      </w:r>
      <w:bookmarkEnd w:id="1"/>
      <w:bookmarkEnd w:id="2"/>
      <w:r w:rsidRPr="00A425C1">
        <w:rPr>
          <w:rFonts w:ascii="宋体" w:hAnsi="宋体" w:hint="eastAsia"/>
          <w:szCs w:val="21"/>
        </w:rPr>
        <w:t>，发达国家的核心G7和发展中国家的核心金砖国家占比分别为66%和9%；2010-2015年的后危机时期，发达国家和新兴与发展中国家占比分别为62%和38%，G7和金砖国家的GDP占比分别为47%和34%。从增长贡献率的角度看，危机后金砖国家稳定超过G7国家，如果考虑购买力平价，2010年以后前者的贡献率超出后者20%以上</w:t>
      </w:r>
      <w:r w:rsidR="00051959" w:rsidRPr="00A425C1">
        <w:rPr>
          <w:rStyle w:val="a8"/>
          <w:rFonts w:ascii="宋体" w:hAnsi="宋体"/>
          <w:szCs w:val="21"/>
        </w:rPr>
        <w:footnoteReference w:id="2"/>
      </w:r>
      <w:r w:rsidR="00051959" w:rsidRPr="00A425C1">
        <w:rPr>
          <w:rFonts w:ascii="宋体" w:hAnsi="宋体" w:hint="eastAsia"/>
          <w:szCs w:val="21"/>
        </w:rPr>
        <w:t>。</w:t>
      </w:r>
    </w:p>
    <w:p w:rsidR="00051959" w:rsidRPr="00A425C1" w:rsidRDefault="00051959" w:rsidP="00211826">
      <w:pPr>
        <w:rPr>
          <w:rFonts w:ascii="宋体" w:hAnsi="宋体"/>
          <w:szCs w:val="21"/>
        </w:rPr>
      </w:pPr>
      <w:r w:rsidRPr="00A425C1">
        <w:rPr>
          <w:rFonts w:ascii="宋体" w:hAnsi="宋体" w:hint="eastAsia"/>
          <w:szCs w:val="21"/>
        </w:rPr>
        <w:t xml:space="preserve">    全球化进入大发展阶段主要受益于两点原因：第一，全球劳动力供给骤增,这为全球化提供了低成本、高质量的劳动力。根据美国著名劳动经济学家弗里曼（2006）的估算，中国、原苏联国家、印度加入世界经济体系导致全球劳动力到2000年增加至29.2亿，如果这些国家被排斥在全球化之外，2000年全球劳动力数量仅为14.6亿，弗里曼将这个过程称为“大倍增（The Great Doubling）”。</w:t>
      </w:r>
      <w:r w:rsidRPr="00A425C1">
        <w:rPr>
          <w:rStyle w:val="a8"/>
          <w:rFonts w:ascii="宋体" w:hAnsi="宋体"/>
          <w:szCs w:val="21"/>
        </w:rPr>
        <w:footnoteReference w:id="3"/>
      </w:r>
      <w:r w:rsidRPr="00A425C1">
        <w:rPr>
          <w:rFonts w:ascii="宋体" w:hAnsi="宋体" w:hint="eastAsia"/>
          <w:szCs w:val="21"/>
        </w:rPr>
        <w:t>丰裕的劳动力与资本结合导致了资本深化过程，促进了全球经济的快速增长。第二，跨国公司构建全球产业价值链，进一步深化了国际分工。这带来三方面的进步：其一，分工深化导致规模效应，进一步提高生产效率；其二，各国可以根据自身的要素禀赋发挥比较优势进行生产；其三，信息技术革命和全球运输网络的扩展使得交易成本降低。</w:t>
      </w:r>
    </w:p>
    <w:p w:rsidR="00051959" w:rsidRPr="00A425C1" w:rsidRDefault="00051959" w:rsidP="00211826">
      <w:pPr>
        <w:rPr>
          <w:rFonts w:ascii="宋体" w:hAnsi="宋体"/>
          <w:szCs w:val="21"/>
        </w:rPr>
      </w:pPr>
      <w:r w:rsidRPr="00A425C1">
        <w:rPr>
          <w:rFonts w:ascii="宋体" w:hAnsi="宋体" w:hint="eastAsia"/>
          <w:szCs w:val="21"/>
        </w:rPr>
        <w:t xml:space="preserve">    然而，这种以跨国公司为载体的全球化模式天生不具备包容性和可持续性，因为跨国公司以汲取产业链高端利润为目标，导致贫富差距加大，在宏观上表现为发达国家和发展中国家的失衡。在全球失衡最终以危机爆发得以释放后，全球化的未来发展道路要去向何方？在前景不甚明朗的当下，逆全球化和贸易保护主义有明显抬头之势，这显然是一种“头痛医头，</w:t>
      </w:r>
      <w:r w:rsidRPr="00A425C1">
        <w:rPr>
          <w:rFonts w:ascii="宋体" w:hAnsi="宋体" w:hint="eastAsia"/>
          <w:szCs w:val="21"/>
        </w:rPr>
        <w:lastRenderedPageBreak/>
        <w:t>脚痛医脚”的治标方法，不符合贸易理论的基本规律。无论是从传统的比较优势理论还是从基于规模效应的新贸易理论出发，贸易保护都使得各国丧失了增长和福利改进的机会。那么是否会重回以美国为中心的旧模式？首先，美国没有这么选择，即使选择也恐难实现。一方面，产业空心化、竞争力下降以及老龄化与高福利结合导致高财政负担，这些因素使得美国难以担当增长火车头的角色；另一方面，大家对维持最终偿付能力的货币——美元的信心逐渐下降。</w:t>
      </w:r>
    </w:p>
    <w:p w:rsidR="00051959" w:rsidRPr="00A425C1" w:rsidRDefault="00051959" w:rsidP="005857EA">
      <w:pPr>
        <w:ind w:firstLine="420"/>
        <w:rPr>
          <w:rFonts w:ascii="宋体" w:hAnsi="宋体"/>
          <w:szCs w:val="21"/>
        </w:rPr>
      </w:pPr>
      <w:r w:rsidRPr="00A425C1">
        <w:rPr>
          <w:rFonts w:ascii="宋体" w:hAnsi="宋体" w:hint="eastAsia"/>
          <w:szCs w:val="21"/>
        </w:rPr>
        <w:t>全球化的重心正逐渐东移，中国正走向世界舞台中央。2017年，中国对全球经济增长的贡献达到26.8%，已连续多年稳居世界第一。中国进出口贸易总额居全球首位，是许多国家最大的贸易伙伴；中国对外直接投资的规模也在迅速上升，2017年对外直接投资额达到1246.3亿美元，位居世界前列，仅次于美国和日本。</w:t>
      </w:r>
    </w:p>
    <w:p w:rsidR="00051959" w:rsidRPr="00D964C5" w:rsidRDefault="00051959" w:rsidP="002D6BE3">
      <w:pPr>
        <w:widowControl/>
        <w:adjustRightInd w:val="0"/>
        <w:spacing w:before="100" w:beforeAutospacing="1" w:after="100" w:afterAutospacing="1" w:line="400" w:lineRule="exact"/>
        <w:jc w:val="center"/>
        <w:outlineLvl w:val="0"/>
        <w:rPr>
          <w:rFonts w:ascii="黑体" w:eastAsia="黑体" w:hAnsi="黑体" w:cs="宋体"/>
          <w:b/>
          <w:kern w:val="0"/>
          <w:sz w:val="24"/>
        </w:rPr>
      </w:pPr>
      <w:r w:rsidRPr="00D964C5">
        <w:rPr>
          <w:rFonts w:ascii="黑体" w:eastAsia="黑体" w:hAnsi="黑体" w:cs="宋体" w:hint="eastAsia"/>
          <w:b/>
          <w:kern w:val="0"/>
          <w:sz w:val="24"/>
        </w:rPr>
        <w:t>二、旧有全球化模式的缺陷及中国</w:t>
      </w:r>
      <w:r>
        <w:rPr>
          <w:rFonts w:ascii="黑体" w:eastAsia="黑体" w:hAnsi="黑体" w:cs="宋体" w:hint="eastAsia"/>
          <w:b/>
          <w:kern w:val="0"/>
          <w:sz w:val="24"/>
        </w:rPr>
        <w:t>“一带一路”倡议的理念创新</w:t>
      </w:r>
    </w:p>
    <w:p w:rsidR="00051959" w:rsidRPr="00A425C1" w:rsidRDefault="00051959" w:rsidP="00884C8D">
      <w:pPr>
        <w:ind w:firstLine="420"/>
        <w:rPr>
          <w:rFonts w:ascii="宋体" w:hAnsi="宋体"/>
          <w:szCs w:val="21"/>
        </w:rPr>
      </w:pPr>
      <w:r w:rsidRPr="00A425C1">
        <w:rPr>
          <w:rFonts w:ascii="宋体" w:hAnsi="宋体" w:hint="eastAsia"/>
          <w:szCs w:val="21"/>
        </w:rPr>
        <w:t>旧有的全球化模式可以概括为：微观上以跨国公司为载体，宏观上形成了“中心-外围”模式，金融层面的制度体系则是由《牙买加协议》作为保障。</w:t>
      </w:r>
    </w:p>
    <w:p w:rsidR="00051959" w:rsidRPr="00A425C1" w:rsidRDefault="00051959" w:rsidP="00884C8D">
      <w:pPr>
        <w:ind w:firstLine="420"/>
        <w:rPr>
          <w:rFonts w:ascii="宋体" w:hAnsi="宋体"/>
          <w:szCs w:val="21"/>
        </w:rPr>
      </w:pPr>
      <w:r w:rsidRPr="00A425C1">
        <w:rPr>
          <w:rFonts w:ascii="宋体" w:hAnsi="宋体" w:hint="eastAsia"/>
          <w:szCs w:val="21"/>
        </w:rPr>
        <w:t>就微观层面而言，尽管以跨国公司为载体的全球价值链模式对全球化起到了一定的推动作用，但本质上是汲取型。这种汲取表现在跨国公司通过技术、知识产权等方式实现转移定价和垄断利润，造成发展中国家的企业处于价值链“低端锁定”状态，而突破“低端锁定”状态则很难</w:t>
      </w:r>
      <w:r w:rsidRPr="00A425C1">
        <w:rPr>
          <w:rStyle w:val="a8"/>
          <w:rFonts w:ascii="宋体" w:hAnsi="宋体"/>
          <w:szCs w:val="21"/>
        </w:rPr>
        <w:footnoteReference w:id="4"/>
      </w:r>
      <w:r w:rsidRPr="00A425C1">
        <w:rPr>
          <w:rFonts w:ascii="宋体" w:hAnsi="宋体" w:hint="eastAsia"/>
          <w:szCs w:val="21"/>
        </w:rPr>
        <w:t>。全球价值链模式在宏观层面的表现为发达国家与发展中国家构成了“中心-外围”模式</w:t>
      </w:r>
      <w:r w:rsidRPr="00A425C1">
        <w:rPr>
          <w:rStyle w:val="a8"/>
          <w:rFonts w:ascii="宋体" w:hAnsi="宋体"/>
          <w:szCs w:val="21"/>
        </w:rPr>
        <w:footnoteReference w:id="5"/>
      </w:r>
      <w:r w:rsidRPr="00A425C1">
        <w:rPr>
          <w:rFonts w:ascii="宋体" w:hAnsi="宋体" w:hint="eastAsia"/>
          <w:szCs w:val="21"/>
        </w:rPr>
        <w:t>。依全球价值链进行生产的结果是：发展中国家往往提供原材料和低附加值的劳动密集产品，即微笑曲线的底端；发达国家则占据价值链的技术研发和渠道营销两端，即微笑曲线的上两端。</w:t>
      </w:r>
    </w:p>
    <w:p w:rsidR="00051959" w:rsidRPr="00A425C1" w:rsidRDefault="00051959" w:rsidP="00A21E00">
      <w:pPr>
        <w:ind w:firstLine="420"/>
        <w:rPr>
          <w:rFonts w:ascii="宋体" w:hAnsi="宋体"/>
          <w:szCs w:val="21"/>
        </w:rPr>
      </w:pPr>
      <w:r w:rsidRPr="00A425C1">
        <w:rPr>
          <w:rFonts w:ascii="宋体" w:hAnsi="宋体" w:hint="eastAsia"/>
          <w:szCs w:val="21"/>
        </w:rPr>
        <w:t>这种分工结构和增长模式存在着固有的内在矛盾，会导致全球失衡。王跃生（2017）</w:t>
      </w:r>
      <w:r w:rsidRPr="00A425C1">
        <w:rPr>
          <w:rStyle w:val="a8"/>
          <w:rFonts w:ascii="宋体" w:hAnsi="宋体"/>
          <w:szCs w:val="21"/>
        </w:rPr>
        <w:footnoteReference w:id="6"/>
      </w:r>
      <w:r w:rsidRPr="00A425C1">
        <w:rPr>
          <w:rFonts w:ascii="宋体" w:hAnsi="宋体" w:hint="eastAsia"/>
          <w:szCs w:val="21"/>
        </w:rPr>
        <w:t>认为，这一内在矛盾表现为两个方面：一方面，将中低端实体产业转出的中心发达国家，如果不能形成大量的新兴高端制造业或者服务业来填补，就会出现产业空心化现象，并最终危及经济稳定与增长。与此同时，中心国家的大规模成品进口，如果没有相应的出口能力也会造成贸易与国际收支失衡。另一方面，从事加工制造的发展中国家，随着工业化和经济发展造成的收入与成本上升，越来越难以维持低成本供给者的地位，如果不能适时实现产业升级，则会使自身限于发展瓶颈，陷入困境并引发危机，进而使全球产业链循环中断。</w:t>
      </w:r>
    </w:p>
    <w:p w:rsidR="00051959" w:rsidRPr="00A425C1" w:rsidRDefault="00051959" w:rsidP="00A21E00">
      <w:pPr>
        <w:ind w:firstLine="420"/>
        <w:rPr>
          <w:rFonts w:ascii="宋体" w:hAnsi="宋体"/>
          <w:szCs w:val="21"/>
        </w:rPr>
      </w:pPr>
      <w:r w:rsidRPr="00A425C1">
        <w:rPr>
          <w:rFonts w:ascii="宋体" w:hAnsi="宋体" w:hint="eastAsia"/>
          <w:szCs w:val="21"/>
        </w:rPr>
        <w:t>金融层面的后布雷顿森林体系还会进一步加剧失衡。自1976年《牙买加协议》签订后，国际货币体系由金本位转向信用本位，这一重大转变使得中心国家无需通过经常项目顺差积累黄金（即国际货币的发行基础）再通过资本项目输出货币，而是通过经常项目逆差直接输出国际货币；外围国家则因稳定的货币锚诉求被迫积累储备货币。这种分工模式最终在金融层面形成了发达国家是债务人，新兴市场国家是债权人的荒谬局面</w:t>
      </w:r>
      <w:r w:rsidRPr="00A425C1">
        <w:rPr>
          <w:rStyle w:val="a8"/>
          <w:rFonts w:ascii="宋体" w:hAnsi="宋体"/>
          <w:szCs w:val="21"/>
        </w:rPr>
        <w:footnoteReference w:id="7"/>
      </w:r>
      <w:r w:rsidRPr="00A425C1">
        <w:rPr>
          <w:rFonts w:ascii="宋体" w:hAnsi="宋体" w:hint="eastAsia"/>
          <w:szCs w:val="21"/>
        </w:rPr>
        <w:t>。然而，牙买加体系自从建立之初就种下了危机的种子，因为外围国家积累的盈余并没有进入到中心国家的生产领域，是以持有中心国家国债这种金融形式存在，而中心国家对债务的偿也不是以实体经济为基础的，而是以货币超发来维持的。这实际上是一场不折不扣的</w:t>
      </w:r>
      <w:r>
        <w:rPr>
          <w:rFonts w:ascii="宋体" w:hAnsi="宋体" w:hint="eastAsia"/>
          <w:szCs w:val="21"/>
        </w:rPr>
        <w:t>“</w:t>
      </w:r>
      <w:r w:rsidRPr="00A425C1">
        <w:rPr>
          <w:rFonts w:ascii="宋体" w:hAnsi="宋体" w:hint="eastAsia"/>
          <w:szCs w:val="21"/>
        </w:rPr>
        <w:t>庞氏骗局</w:t>
      </w:r>
      <w:r>
        <w:rPr>
          <w:rFonts w:ascii="宋体" w:hAnsi="宋体" w:hint="eastAsia"/>
          <w:szCs w:val="21"/>
        </w:rPr>
        <w:t>”</w:t>
      </w:r>
      <w:r w:rsidRPr="00A425C1">
        <w:rPr>
          <w:rFonts w:ascii="宋体" w:hAnsi="宋体" w:hint="eastAsia"/>
          <w:szCs w:val="21"/>
        </w:rPr>
        <w:t>。</w:t>
      </w:r>
    </w:p>
    <w:p w:rsidR="00051959" w:rsidRPr="00A425C1" w:rsidRDefault="00051959" w:rsidP="00A21E00">
      <w:pPr>
        <w:ind w:firstLine="420"/>
        <w:rPr>
          <w:rFonts w:ascii="宋体" w:hAnsi="宋体"/>
          <w:szCs w:val="21"/>
        </w:rPr>
      </w:pPr>
      <w:r w:rsidRPr="00A425C1">
        <w:rPr>
          <w:rFonts w:ascii="宋体" w:hAnsi="宋体" w:hint="eastAsia"/>
          <w:szCs w:val="21"/>
        </w:rPr>
        <w:lastRenderedPageBreak/>
        <w:t>2013年，中国国家主席习近平在出访中亚和东南亚期间提出了“一带一路”倡议，2015年《</w:t>
      </w:r>
      <w:r w:rsidRPr="00A425C1">
        <w:rPr>
          <w:rFonts w:ascii="宋体" w:hAnsi="宋体"/>
          <w:szCs w:val="21"/>
        </w:rPr>
        <w:t>推动共建丝绸之路经济带和21世纪海上丝绸之路的愿景与行动</w:t>
      </w:r>
      <w:r w:rsidRPr="00A425C1">
        <w:rPr>
          <w:rFonts w:ascii="宋体" w:hAnsi="宋体" w:hint="eastAsia"/>
          <w:szCs w:val="21"/>
        </w:rPr>
        <w:t>》</w:t>
      </w:r>
      <w:r w:rsidRPr="00A425C1">
        <w:rPr>
          <w:rStyle w:val="a8"/>
          <w:rFonts w:ascii="宋体" w:hAnsi="宋体"/>
          <w:szCs w:val="21"/>
        </w:rPr>
        <w:footnoteReference w:id="8"/>
      </w:r>
      <w:r w:rsidRPr="00A425C1">
        <w:rPr>
          <w:rFonts w:ascii="宋体" w:hAnsi="宋体" w:hint="eastAsia"/>
          <w:szCs w:val="21"/>
        </w:rPr>
        <w:t>发布，它重点阐述了“一带一路”倡议的原则、思路、合作重点和机制，与旧有的全球化模式完全不同：</w:t>
      </w:r>
    </w:p>
    <w:p w:rsidR="00051959" w:rsidRPr="00A425C1" w:rsidRDefault="00051959" w:rsidP="00A21E00">
      <w:pPr>
        <w:ind w:firstLine="420"/>
        <w:rPr>
          <w:rFonts w:ascii="宋体" w:hAnsi="宋体"/>
          <w:szCs w:val="21"/>
        </w:rPr>
      </w:pPr>
      <w:r w:rsidRPr="00A425C1">
        <w:rPr>
          <w:rFonts w:ascii="宋体" w:hAnsi="宋体" w:hint="eastAsia"/>
          <w:szCs w:val="21"/>
        </w:rPr>
        <w:t>首先，从微观角度看，中国的对外直接投资并不是以攫取价值链利润为首要目标，相反中国以基础设施为切入点，通过提供区域公共产品介入到区域经济合作中。从经济角度看，通过提供公共产品可以补齐区域合作短板，加强区域经济联系，从而提升区域合作的规模和质量。从国际政治角度看，由于公共产品使得东道国受益，区域合作具有了行动一致性，因此很多国家对“一带一路”倡议的态度迅速从怀疑转变为欢迎和加入。</w:t>
      </w:r>
    </w:p>
    <w:p w:rsidR="00051959" w:rsidRPr="00A425C1" w:rsidRDefault="00051959" w:rsidP="00A21E00">
      <w:pPr>
        <w:ind w:firstLine="420"/>
        <w:rPr>
          <w:rFonts w:ascii="宋体" w:hAnsi="宋体"/>
          <w:szCs w:val="21"/>
        </w:rPr>
      </w:pPr>
      <w:r w:rsidRPr="00A425C1">
        <w:rPr>
          <w:rFonts w:ascii="宋体" w:hAnsi="宋体" w:hint="eastAsia"/>
          <w:szCs w:val="21"/>
        </w:rPr>
        <w:t>其次，从宏观角度看，中国的“一带一路”倡议不是要形成一个新的“中心-外围”模式，而是要在基础设施互联互通的基础上构建“区域合作价值网络”。这一“合作价值网络”以共享发展为理念，通过多方参与形成广泛的共生群体，特别是基于互联网的贸易平台模式直接对接属地的大量小规模生产者。这种合作特性完全不同于基于价值链的汲取性网络，而是一种横向的合作网络，为实现包容性和可持续性发展提供了可能。</w:t>
      </w:r>
    </w:p>
    <w:p w:rsidR="00051959" w:rsidRPr="00A425C1" w:rsidRDefault="00051959" w:rsidP="00A21E00">
      <w:pPr>
        <w:ind w:firstLine="420"/>
        <w:rPr>
          <w:rFonts w:ascii="宋体" w:hAnsi="宋体"/>
          <w:szCs w:val="21"/>
        </w:rPr>
      </w:pPr>
      <w:r w:rsidRPr="00A425C1">
        <w:rPr>
          <w:rFonts w:ascii="宋体" w:hAnsi="宋体" w:hint="eastAsia"/>
          <w:szCs w:val="21"/>
        </w:rPr>
        <w:t>最后，从金融层面看，中国也无意于在区域中形成单一中心货币。中国与“一带一路”沿线多个国家签订了货币互换协议，以应对以美元为中心的单一货币体系的风险。此外，在“一带一路”框架下形成多个金融服务体系如亚洲基础设施银行、丝路基金都是围绕基础设施互联互通而服务的。</w:t>
      </w:r>
    </w:p>
    <w:p w:rsidR="00051959" w:rsidRPr="00A425C1" w:rsidRDefault="00051959" w:rsidP="0098275A">
      <w:pPr>
        <w:ind w:firstLine="420"/>
        <w:rPr>
          <w:rFonts w:ascii="宋体" w:hAnsi="宋体"/>
          <w:szCs w:val="21"/>
        </w:rPr>
      </w:pPr>
      <w:r w:rsidRPr="00A425C1">
        <w:rPr>
          <w:rFonts w:ascii="宋体" w:hAnsi="宋体" w:hint="eastAsia"/>
          <w:szCs w:val="21"/>
        </w:rPr>
        <w:t>中国在“一带一路”沿线国家的基础设施投资是区域合作价值网络的基础，对加强区域经济联系有重要作用。由于自身财力和投资效率等因素的考虑，如此广泛区域的投资应有重点的渐次推进。因此应将重点放在上海合作组织成员国上，主要原因有两点：第一，上海合作组织成员国</w:t>
      </w:r>
      <w:r w:rsidRPr="00A425C1">
        <w:rPr>
          <w:rFonts w:ascii="宋体" w:hAnsi="宋体"/>
          <w:szCs w:val="21"/>
        </w:rPr>
        <w:t>GDP</w:t>
      </w:r>
      <w:r w:rsidRPr="00A425C1">
        <w:rPr>
          <w:rFonts w:ascii="宋体" w:hAnsi="宋体" w:hint="eastAsia"/>
          <w:szCs w:val="21"/>
        </w:rPr>
        <w:t>占全球</w:t>
      </w:r>
      <w:r w:rsidRPr="00A425C1">
        <w:rPr>
          <w:rFonts w:ascii="宋体" w:hAnsi="宋体"/>
          <w:szCs w:val="21"/>
        </w:rPr>
        <w:t>21%</w:t>
      </w:r>
      <w:r w:rsidRPr="00A425C1">
        <w:rPr>
          <w:rFonts w:ascii="宋体" w:hAnsi="宋体" w:hint="eastAsia"/>
          <w:szCs w:val="21"/>
        </w:rPr>
        <w:t>，占新兴市场国家的</w:t>
      </w:r>
      <w:r w:rsidRPr="00A425C1">
        <w:rPr>
          <w:rFonts w:ascii="宋体" w:hAnsi="宋体"/>
          <w:szCs w:val="21"/>
        </w:rPr>
        <w:t>53%</w:t>
      </w:r>
      <w:r w:rsidRPr="00A425C1">
        <w:rPr>
          <w:rFonts w:ascii="宋体" w:hAnsi="宋体" w:hint="eastAsia"/>
          <w:szCs w:val="21"/>
        </w:rPr>
        <w:t>；上海合作组织是世界上人口最多、地域最广的综合性区域组织。搞好人口最多、地域最广、新兴市场中经济规模最大的地区的互联互通工作，在尊重差异的基础上实现经济上的互利共赢和文化上的开放包容，可以走出传统区域合作模式遭遇的现实困境。</w:t>
      </w:r>
      <w:r w:rsidRPr="00A425C1">
        <w:rPr>
          <w:rStyle w:val="a8"/>
          <w:rFonts w:ascii="宋体" w:hAnsi="宋体"/>
          <w:szCs w:val="21"/>
        </w:rPr>
        <w:footnoteReference w:id="9"/>
      </w:r>
      <w:r w:rsidRPr="00A425C1">
        <w:rPr>
          <w:rFonts w:ascii="宋体" w:hAnsi="宋体" w:hint="eastAsia"/>
          <w:szCs w:val="21"/>
        </w:rPr>
        <w:t>第二，上海合作组织地区除了拥有巨大的市场潜力，同时原有框架赋予安全合作保障，再依托与“一带一路”的对接，有可能成为跨区域治理的典范。</w:t>
      </w:r>
    </w:p>
    <w:p w:rsidR="00051959" w:rsidRPr="00D964C5" w:rsidRDefault="00051959" w:rsidP="007C1AF1">
      <w:pPr>
        <w:widowControl/>
        <w:adjustRightInd w:val="0"/>
        <w:spacing w:before="100" w:beforeAutospacing="1" w:after="100" w:afterAutospacing="1" w:line="400" w:lineRule="exact"/>
        <w:jc w:val="center"/>
        <w:outlineLvl w:val="0"/>
        <w:rPr>
          <w:rFonts w:ascii="黑体" w:eastAsia="黑体" w:hAnsi="黑体" w:cs="宋体"/>
          <w:b/>
          <w:kern w:val="0"/>
          <w:sz w:val="24"/>
        </w:rPr>
      </w:pPr>
      <w:r w:rsidRPr="00D964C5">
        <w:rPr>
          <w:rFonts w:ascii="黑体" w:eastAsia="黑体" w:hAnsi="黑体" w:cs="宋体" w:hint="eastAsia"/>
          <w:b/>
          <w:kern w:val="0"/>
          <w:sz w:val="24"/>
        </w:rPr>
        <w:t>三、研究框架及指标体系</w:t>
      </w:r>
    </w:p>
    <w:p w:rsidR="00051959" w:rsidRPr="00A425C1" w:rsidRDefault="00051959" w:rsidP="007C1AF1">
      <w:pPr>
        <w:ind w:firstLine="420"/>
        <w:rPr>
          <w:rFonts w:ascii="宋体" w:hAnsi="宋体"/>
          <w:szCs w:val="21"/>
        </w:rPr>
      </w:pPr>
      <w:bookmarkStart w:id="3" w:name="OLE_LINK3"/>
      <w:bookmarkStart w:id="4" w:name="OLE_LINK4"/>
      <w:r w:rsidRPr="00A425C1">
        <w:rPr>
          <w:rFonts w:ascii="宋体" w:hAnsi="宋体" w:hint="eastAsia"/>
          <w:szCs w:val="21"/>
        </w:rPr>
        <w:t xml:space="preserve">任何投资都应该对其效果、效率进行评价，上文的分析表明中国在当下的投资并不以攫取价值链利润为首要目标，而是强调了这种投资能否带来整个地区的共同繁荣。因此，从评价的角度看，首要关注的是投资是否带来地区经济联系的加强，因为经济联系的加强是后续实现包容性发展的基础。因此，本文将投资效率的评价目标设定为中国与上海合作组织国家的经济联系，具体采用两个指标：一是空间经济联系度，二是贸易强度指数；中国与上海合作组织国家经济联系的加强一方面源于中国对这些国家的直接投资加强，另一方面也会因各国本身基础设条件的差异而有所不同。DEA（data </w:t>
      </w:r>
      <w:proofErr w:type="spellStart"/>
      <w:r w:rsidRPr="00A425C1">
        <w:rPr>
          <w:rFonts w:ascii="宋体" w:hAnsi="宋体" w:hint="eastAsia"/>
          <w:szCs w:val="21"/>
        </w:rPr>
        <w:t>envelopement</w:t>
      </w:r>
      <w:proofErr w:type="spellEnd"/>
      <w:r w:rsidRPr="00A425C1">
        <w:rPr>
          <w:rFonts w:ascii="宋体" w:hAnsi="宋体" w:hint="eastAsia"/>
          <w:szCs w:val="21"/>
        </w:rPr>
        <w:t xml:space="preserve"> analysis，数据包络分析）是分析决策单元投入产出效率的有效方法，其思想根源可追溯到法雷尔（</w:t>
      </w:r>
      <w:proofErr w:type="spellStart"/>
      <w:r w:rsidRPr="00A425C1">
        <w:rPr>
          <w:rFonts w:ascii="宋体" w:hAnsi="宋体" w:hint="eastAsia"/>
          <w:szCs w:val="21"/>
        </w:rPr>
        <w:t>M.J.Farrell</w:t>
      </w:r>
      <w:proofErr w:type="spellEnd"/>
      <w:r w:rsidRPr="00A425C1">
        <w:rPr>
          <w:rFonts w:ascii="宋体" w:hAnsi="宋体" w:hint="eastAsia"/>
          <w:szCs w:val="21"/>
        </w:rPr>
        <w:t>）</w:t>
      </w:r>
      <w:r w:rsidRPr="00A425C1">
        <w:rPr>
          <w:rStyle w:val="a8"/>
          <w:rFonts w:ascii="宋体" w:hAnsi="宋体"/>
          <w:szCs w:val="21"/>
        </w:rPr>
        <w:footnoteReference w:id="10"/>
      </w:r>
      <w:r w:rsidRPr="00A425C1">
        <w:rPr>
          <w:rFonts w:ascii="宋体" w:hAnsi="宋体" w:hint="eastAsia"/>
          <w:szCs w:val="21"/>
        </w:rPr>
        <w:t>的《生产效率的测算》一文，这一方法的优势包括：适用于多投入多产出的模式、无统一量纲要求，是一种非参估计方法，因而对样本量无要求。这里可以将中国的直接投资以及各国基</w:t>
      </w:r>
      <w:r w:rsidRPr="00A425C1">
        <w:rPr>
          <w:rFonts w:ascii="宋体" w:hAnsi="宋体" w:hint="eastAsia"/>
          <w:szCs w:val="21"/>
        </w:rPr>
        <w:lastRenderedPageBreak/>
        <w:t>础设施的条件看作输入变量，两个反映地区间经济联系的指标看作输出变量，用DEA模型评价中国直接投资对哪些国家是有效率的（或者说中国与哪些国家的经济联系加强了）。此外，本文还将各个国家的效率进行简单平均，并对比“一带一路”战略实施前后效率值的差异，以此判断“一带一路”这一战略的实施效果。以上即为图1中上半部分内容，在得到中国对各国各年的投资效率值后，接下来的问题是哪些因素决定了投资效率？比如说一国存在腐败，或者存在金融抑制导致信贷难以获得等等，如果能确定这些因素与投资效率之间的关系，那么未来就会在中国对上海合作组织国家的直接投资中发挥指导作用。对此，本文使用面板</w:t>
      </w:r>
      <w:proofErr w:type="spellStart"/>
      <w:r w:rsidRPr="00A425C1">
        <w:rPr>
          <w:rFonts w:ascii="宋体" w:hAnsi="宋体" w:hint="eastAsia"/>
          <w:szCs w:val="21"/>
        </w:rPr>
        <w:t>Tobit</w:t>
      </w:r>
      <w:proofErr w:type="spellEnd"/>
      <w:r w:rsidRPr="00A425C1">
        <w:rPr>
          <w:rFonts w:ascii="宋体" w:hAnsi="宋体" w:hint="eastAsia"/>
          <w:szCs w:val="21"/>
        </w:rPr>
        <w:t>模型进行分析：</w:t>
      </w:r>
      <w:proofErr w:type="spellStart"/>
      <w:r w:rsidRPr="00A425C1">
        <w:rPr>
          <w:rFonts w:ascii="宋体" w:hAnsi="宋体" w:hint="eastAsia"/>
          <w:szCs w:val="21"/>
        </w:rPr>
        <w:t>Tobit</w:t>
      </w:r>
      <w:proofErr w:type="spellEnd"/>
      <w:r w:rsidRPr="00A425C1">
        <w:rPr>
          <w:rFonts w:ascii="宋体" w:hAnsi="宋体" w:hint="eastAsia"/>
          <w:szCs w:val="21"/>
        </w:rPr>
        <w:t>模型是因变量受限模型，这里由于第一部分计算出来的效率值处于0到1之间，具有典型的截断特征，符合</w:t>
      </w:r>
      <w:proofErr w:type="spellStart"/>
      <w:r w:rsidRPr="00A425C1">
        <w:rPr>
          <w:rFonts w:ascii="宋体" w:hAnsi="宋体" w:hint="eastAsia"/>
          <w:szCs w:val="21"/>
        </w:rPr>
        <w:t>Tobit</w:t>
      </w:r>
      <w:proofErr w:type="spellEnd"/>
      <w:r w:rsidRPr="00A425C1">
        <w:rPr>
          <w:rFonts w:ascii="宋体" w:hAnsi="宋体" w:hint="eastAsia"/>
          <w:szCs w:val="21"/>
        </w:rPr>
        <w:t>模型的应用特点；采用面板模型是因为包含多个截面多个时间段，信息更加丰富。DEA投资效率评价以及面板</w:t>
      </w:r>
      <w:proofErr w:type="spellStart"/>
      <w:r w:rsidRPr="00A425C1">
        <w:rPr>
          <w:rFonts w:ascii="宋体" w:hAnsi="宋体" w:hint="eastAsia"/>
          <w:szCs w:val="21"/>
        </w:rPr>
        <w:t>Tobit</w:t>
      </w:r>
      <w:proofErr w:type="spellEnd"/>
      <w:r w:rsidRPr="00A425C1">
        <w:rPr>
          <w:rFonts w:ascii="宋体" w:hAnsi="宋体" w:hint="eastAsia"/>
          <w:szCs w:val="21"/>
        </w:rPr>
        <w:t>模型就构成了中国对上海合作组织国家投资效率的研究框架（见图1）。</w:t>
      </w:r>
    </w:p>
    <w:bookmarkEnd w:id="3"/>
    <w:bookmarkEnd w:id="4"/>
    <w:p w:rsidR="00051959" w:rsidRPr="00355557" w:rsidRDefault="00051959" w:rsidP="007C1AF1">
      <w:pPr>
        <w:ind w:firstLine="420"/>
        <w:rPr>
          <w:rFonts w:ascii="宋体" w:hAnsi="宋体"/>
          <w:sz w:val="24"/>
        </w:rPr>
      </w:pPr>
    </w:p>
    <w:p w:rsidR="00051959" w:rsidRDefault="00051959" w:rsidP="007C1AF1">
      <w:pPr>
        <w:ind w:firstLine="420"/>
        <w:rPr>
          <w:rFonts w:ascii="宋体" w:hAnsi="宋体"/>
          <w:sz w:val="24"/>
        </w:rPr>
      </w:pPr>
      <w:r>
        <w:rPr>
          <w:rFonts w:ascii="宋体" w:hAnsi="宋体"/>
          <w:noProof/>
          <w:sz w:val="24"/>
        </w:rPr>
        <w:drawing>
          <wp:inline distT="0" distB="0" distL="0" distR="0">
            <wp:extent cx="4196715" cy="1870075"/>
            <wp:effectExtent l="19050" t="0" r="0" b="0"/>
            <wp:docPr id="4" name="对象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对象 3"/>
                    <pic:cNvPicPr>
                      <a:picLocks noChangeArrowheads="1"/>
                    </pic:cNvPicPr>
                  </pic:nvPicPr>
                  <pic:blipFill>
                    <a:blip r:embed="rId7" cstate="print"/>
                    <a:srcRect r="-76" b="-648"/>
                    <a:stretch>
                      <a:fillRect/>
                    </a:stretch>
                  </pic:blipFill>
                  <pic:spPr bwMode="auto">
                    <a:xfrm>
                      <a:off x="0" y="0"/>
                      <a:ext cx="4196715" cy="1870075"/>
                    </a:xfrm>
                    <a:prstGeom prst="rect">
                      <a:avLst/>
                    </a:prstGeom>
                    <a:noFill/>
                    <a:ln w="9525">
                      <a:noFill/>
                      <a:miter lim="800000"/>
                      <a:headEnd/>
                      <a:tailEnd/>
                    </a:ln>
                  </pic:spPr>
                </pic:pic>
              </a:graphicData>
            </a:graphic>
          </wp:inline>
        </w:drawing>
      </w:r>
    </w:p>
    <w:p w:rsidR="00051959" w:rsidRPr="00A425C1" w:rsidRDefault="00051959" w:rsidP="009028D3">
      <w:pPr>
        <w:ind w:firstLine="420"/>
        <w:jc w:val="center"/>
        <w:rPr>
          <w:rFonts w:ascii="宋体" w:hAnsi="宋体"/>
          <w:szCs w:val="21"/>
        </w:rPr>
      </w:pPr>
      <w:r w:rsidRPr="00A425C1">
        <w:rPr>
          <w:rFonts w:ascii="宋体" w:hAnsi="宋体" w:hint="eastAsia"/>
          <w:szCs w:val="21"/>
        </w:rPr>
        <w:t>图1  如何通过直接投资增加经济联系：一个分析框架</w:t>
      </w:r>
    </w:p>
    <w:p w:rsidR="00051959" w:rsidRPr="00A425C1" w:rsidRDefault="00051959" w:rsidP="007C1AF1">
      <w:pPr>
        <w:ind w:firstLine="420"/>
        <w:rPr>
          <w:rFonts w:ascii="宋体" w:hAnsi="宋体"/>
          <w:szCs w:val="21"/>
        </w:rPr>
      </w:pPr>
    </w:p>
    <w:p w:rsidR="00051959" w:rsidRPr="00A425C1" w:rsidRDefault="00051959" w:rsidP="0048369F">
      <w:pPr>
        <w:ind w:firstLine="420"/>
        <w:rPr>
          <w:rFonts w:ascii="宋体" w:hAnsi="宋体"/>
          <w:szCs w:val="21"/>
        </w:rPr>
      </w:pPr>
      <w:r w:rsidRPr="00A425C1">
        <w:rPr>
          <w:rFonts w:ascii="宋体" w:hAnsi="宋体" w:hint="eastAsia"/>
          <w:szCs w:val="21"/>
        </w:rPr>
        <w:t>表1给出了两阶段评价模型的具体指标情况。第一阶段DEA模型中输入变量包括四个：中国对其他7个上海合作组织国家的直接投资存量，这是影响中国与上海合作组织国家经济联系的最重要因素；其他3个变量可看作影响中国与上海合作组织国家经济联系的控制变量，这三个指标数据都来源于世界银行数据库，航空运输量最终来源于国际民用航空组织，铁路运输量最终来源于国际铁路联盟，贸易和运输相关基础设施质量最终来源于世界银行和图尔库经济学院的物流绩效指数调查</w:t>
      </w:r>
      <w:r w:rsidRPr="00A425C1">
        <w:rPr>
          <w:rStyle w:val="a8"/>
          <w:rFonts w:ascii="宋体" w:hAnsi="宋体"/>
          <w:szCs w:val="21"/>
        </w:rPr>
        <w:footnoteReference w:id="11"/>
      </w:r>
      <w:r w:rsidRPr="00A425C1">
        <w:rPr>
          <w:rFonts w:ascii="宋体" w:hAnsi="宋体" w:hint="eastAsia"/>
          <w:szCs w:val="21"/>
        </w:rPr>
        <w:t>。</w:t>
      </w:r>
    </w:p>
    <w:p w:rsidR="00051959" w:rsidRDefault="00051959" w:rsidP="007C1AF1">
      <w:pPr>
        <w:ind w:firstLine="420"/>
        <w:rPr>
          <w:rFonts w:ascii="宋体" w:hAnsi="宋体"/>
          <w:sz w:val="24"/>
        </w:rPr>
      </w:pPr>
    </w:p>
    <w:p w:rsidR="00051959" w:rsidRDefault="00051959" w:rsidP="0048369F">
      <w:pPr>
        <w:jc w:val="center"/>
      </w:pPr>
      <w:r>
        <w:rPr>
          <w:rFonts w:hint="eastAsia"/>
        </w:rPr>
        <w:t>表</w:t>
      </w:r>
      <w:r>
        <w:rPr>
          <w:rFonts w:hint="eastAsia"/>
        </w:rPr>
        <w:t xml:space="preserve">1  </w:t>
      </w:r>
      <w:r>
        <w:rPr>
          <w:rFonts w:hint="eastAsia"/>
        </w:rPr>
        <w:t>评价指标体系</w:t>
      </w:r>
    </w:p>
    <w:tbl>
      <w:tblPr>
        <w:tblW w:w="8458" w:type="dxa"/>
        <w:tblInd w:w="108" w:type="dxa"/>
        <w:tblBorders>
          <w:top w:val="single" w:sz="12" w:space="0" w:color="auto"/>
          <w:bottom w:val="single" w:sz="12" w:space="0" w:color="auto"/>
        </w:tblBorders>
        <w:tblLook w:val="04A0"/>
      </w:tblPr>
      <w:tblGrid>
        <w:gridCol w:w="1095"/>
        <w:gridCol w:w="1116"/>
        <w:gridCol w:w="1900"/>
        <w:gridCol w:w="1559"/>
        <w:gridCol w:w="2788"/>
      </w:tblGrid>
      <w:tr w:rsidR="00051959" w:rsidRPr="00F16B8D" w:rsidTr="00F37084">
        <w:trPr>
          <w:trHeight w:val="300"/>
        </w:trPr>
        <w:tc>
          <w:tcPr>
            <w:tcW w:w="1095" w:type="dxa"/>
            <w:tcBorders>
              <w:top w:val="single" w:sz="12" w:space="0" w:color="auto"/>
              <w:bottom w:val="single" w:sz="12" w:space="0" w:color="auto"/>
            </w:tcBorders>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r w:rsidRPr="00F16B8D">
              <w:rPr>
                <w:rFonts w:ascii="宋体" w:hAnsi="宋体" w:cs="宋体" w:hint="eastAsia"/>
                <w:color w:val="000000"/>
                <w:kern w:val="0"/>
                <w:szCs w:val="21"/>
              </w:rPr>
              <w:t>所属模型</w:t>
            </w:r>
          </w:p>
        </w:tc>
        <w:tc>
          <w:tcPr>
            <w:tcW w:w="1116" w:type="dxa"/>
            <w:tcBorders>
              <w:top w:val="single" w:sz="12" w:space="0" w:color="auto"/>
              <w:bottom w:val="single" w:sz="12" w:space="0" w:color="auto"/>
            </w:tcBorders>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r w:rsidRPr="00F16B8D">
              <w:rPr>
                <w:rFonts w:ascii="宋体" w:hAnsi="宋体" w:cs="宋体" w:hint="eastAsia"/>
                <w:color w:val="000000"/>
                <w:kern w:val="0"/>
                <w:szCs w:val="21"/>
              </w:rPr>
              <w:t>具体分类</w:t>
            </w:r>
          </w:p>
        </w:tc>
        <w:tc>
          <w:tcPr>
            <w:tcW w:w="1900" w:type="dxa"/>
            <w:tcBorders>
              <w:top w:val="single" w:sz="12" w:space="0" w:color="auto"/>
              <w:bottom w:val="single" w:sz="12" w:space="0" w:color="auto"/>
            </w:tcBorders>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r w:rsidRPr="00F16B8D">
              <w:rPr>
                <w:rFonts w:ascii="宋体" w:hAnsi="宋体" w:cs="宋体" w:hint="eastAsia"/>
                <w:color w:val="000000"/>
                <w:kern w:val="0"/>
                <w:szCs w:val="21"/>
              </w:rPr>
              <w:t>指标名称</w:t>
            </w:r>
          </w:p>
        </w:tc>
        <w:tc>
          <w:tcPr>
            <w:tcW w:w="1559" w:type="dxa"/>
            <w:tcBorders>
              <w:top w:val="single" w:sz="12" w:space="0" w:color="auto"/>
              <w:bottom w:val="single" w:sz="12" w:space="0" w:color="auto"/>
            </w:tcBorders>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r w:rsidRPr="00F16B8D">
              <w:rPr>
                <w:rFonts w:ascii="宋体" w:hAnsi="宋体" w:cs="宋体" w:hint="eastAsia"/>
                <w:color w:val="000000"/>
                <w:kern w:val="0"/>
                <w:szCs w:val="21"/>
              </w:rPr>
              <w:t>单位</w:t>
            </w:r>
          </w:p>
        </w:tc>
        <w:tc>
          <w:tcPr>
            <w:tcW w:w="2788" w:type="dxa"/>
            <w:tcBorders>
              <w:top w:val="single" w:sz="12" w:space="0" w:color="auto"/>
              <w:bottom w:val="single" w:sz="12" w:space="0" w:color="auto"/>
            </w:tcBorders>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r w:rsidRPr="00F16B8D">
              <w:rPr>
                <w:rFonts w:ascii="宋体" w:hAnsi="宋体" w:cs="宋体" w:hint="eastAsia"/>
                <w:color w:val="000000"/>
                <w:kern w:val="0"/>
                <w:szCs w:val="21"/>
              </w:rPr>
              <w:t>数据来源</w:t>
            </w:r>
          </w:p>
        </w:tc>
      </w:tr>
      <w:tr w:rsidR="00051959" w:rsidRPr="00F16B8D" w:rsidTr="00F37084">
        <w:trPr>
          <w:trHeight w:val="288"/>
        </w:trPr>
        <w:tc>
          <w:tcPr>
            <w:tcW w:w="1095" w:type="dxa"/>
            <w:vMerge w:val="restart"/>
            <w:tcBorders>
              <w:top w:val="single" w:sz="12" w:space="0" w:color="auto"/>
            </w:tcBorders>
            <w:shd w:val="clear" w:color="auto" w:fill="auto"/>
            <w:noWrap/>
            <w:vAlign w:val="center"/>
            <w:hideMark/>
          </w:tcPr>
          <w:p w:rsidR="00051959" w:rsidRPr="00F16B8D" w:rsidRDefault="00051959" w:rsidP="00F16B8D">
            <w:pPr>
              <w:widowControl/>
              <w:jc w:val="left"/>
              <w:rPr>
                <w:rFonts w:ascii="宋体" w:hAnsi="宋体" w:cs="宋体"/>
                <w:color w:val="000000"/>
                <w:kern w:val="0"/>
                <w:szCs w:val="21"/>
              </w:rPr>
            </w:pPr>
            <w:r w:rsidRPr="00F16B8D">
              <w:rPr>
                <w:rFonts w:ascii="宋体" w:hAnsi="宋体" w:cs="宋体" w:hint="eastAsia"/>
                <w:color w:val="000000"/>
                <w:kern w:val="0"/>
                <w:szCs w:val="21"/>
              </w:rPr>
              <w:t>DEA模型</w:t>
            </w:r>
          </w:p>
        </w:tc>
        <w:tc>
          <w:tcPr>
            <w:tcW w:w="1116" w:type="dxa"/>
            <w:vMerge w:val="restart"/>
            <w:tcBorders>
              <w:top w:val="single" w:sz="12" w:space="0" w:color="auto"/>
              <w:bottom w:val="nil"/>
            </w:tcBorders>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r w:rsidRPr="00F16B8D">
              <w:rPr>
                <w:rFonts w:ascii="宋体" w:hAnsi="宋体" w:cs="宋体" w:hint="eastAsia"/>
                <w:color w:val="000000"/>
                <w:kern w:val="0"/>
                <w:szCs w:val="21"/>
              </w:rPr>
              <w:t>输出变量</w:t>
            </w:r>
          </w:p>
        </w:tc>
        <w:tc>
          <w:tcPr>
            <w:tcW w:w="1900" w:type="dxa"/>
            <w:tcBorders>
              <w:top w:val="single" w:sz="12" w:space="0" w:color="auto"/>
              <w:bottom w:val="nil"/>
            </w:tcBorders>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r w:rsidRPr="00F16B8D">
              <w:rPr>
                <w:rFonts w:ascii="宋体" w:hAnsi="宋体" w:cs="宋体" w:hint="eastAsia"/>
                <w:color w:val="000000"/>
                <w:kern w:val="0"/>
                <w:szCs w:val="21"/>
              </w:rPr>
              <w:t>空间经济联系度</w:t>
            </w:r>
          </w:p>
        </w:tc>
        <w:tc>
          <w:tcPr>
            <w:tcW w:w="1559" w:type="dxa"/>
            <w:tcBorders>
              <w:top w:val="single" w:sz="12" w:space="0" w:color="auto"/>
              <w:bottom w:val="nil"/>
            </w:tcBorders>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r>
              <w:rPr>
                <w:rFonts w:ascii="宋体" w:hAnsi="宋体" w:cs="宋体" w:hint="eastAsia"/>
                <w:color w:val="000000"/>
                <w:kern w:val="0"/>
                <w:szCs w:val="21"/>
              </w:rPr>
              <w:t>亿美元·万人/平方公里</w:t>
            </w:r>
          </w:p>
        </w:tc>
        <w:tc>
          <w:tcPr>
            <w:tcW w:w="2788" w:type="dxa"/>
            <w:tcBorders>
              <w:top w:val="single" w:sz="12" w:space="0" w:color="auto"/>
              <w:bottom w:val="nil"/>
            </w:tcBorders>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r w:rsidRPr="00F16B8D">
              <w:rPr>
                <w:rFonts w:ascii="宋体" w:hAnsi="宋体" w:cs="宋体" w:hint="eastAsia"/>
                <w:color w:val="000000"/>
                <w:kern w:val="0"/>
                <w:szCs w:val="21"/>
              </w:rPr>
              <w:t>作者计算</w:t>
            </w:r>
          </w:p>
        </w:tc>
      </w:tr>
      <w:tr w:rsidR="00051959" w:rsidRPr="00F16B8D" w:rsidTr="00F37084">
        <w:trPr>
          <w:trHeight w:val="335"/>
        </w:trPr>
        <w:tc>
          <w:tcPr>
            <w:tcW w:w="1095" w:type="dxa"/>
            <w:vMerge/>
            <w:shd w:val="clear" w:color="auto" w:fill="auto"/>
            <w:noWrap/>
            <w:vAlign w:val="center"/>
            <w:hideMark/>
          </w:tcPr>
          <w:p w:rsidR="00051959" w:rsidRPr="00F16B8D" w:rsidRDefault="00051959" w:rsidP="00F16B8D">
            <w:pPr>
              <w:widowControl/>
              <w:jc w:val="left"/>
              <w:rPr>
                <w:rFonts w:ascii="宋体" w:hAnsi="宋体" w:cs="宋体"/>
                <w:color w:val="000000"/>
                <w:kern w:val="0"/>
                <w:szCs w:val="21"/>
              </w:rPr>
            </w:pPr>
          </w:p>
        </w:tc>
        <w:tc>
          <w:tcPr>
            <w:tcW w:w="1116" w:type="dxa"/>
            <w:vMerge/>
            <w:tcBorders>
              <w:top w:val="nil"/>
              <w:bottom w:val="single" w:sz="4" w:space="0" w:color="auto"/>
            </w:tcBorders>
            <w:shd w:val="clear" w:color="auto" w:fill="auto"/>
            <w:noWrap/>
            <w:vAlign w:val="center"/>
            <w:hideMark/>
          </w:tcPr>
          <w:p w:rsidR="00051959" w:rsidRPr="00F16B8D" w:rsidRDefault="00051959" w:rsidP="00F37084">
            <w:pPr>
              <w:jc w:val="center"/>
              <w:rPr>
                <w:rFonts w:ascii="宋体" w:hAnsi="宋体" w:cs="宋体"/>
                <w:color w:val="000000"/>
                <w:kern w:val="0"/>
                <w:szCs w:val="21"/>
              </w:rPr>
            </w:pPr>
          </w:p>
        </w:tc>
        <w:tc>
          <w:tcPr>
            <w:tcW w:w="1900" w:type="dxa"/>
            <w:tcBorders>
              <w:top w:val="nil"/>
              <w:bottom w:val="single" w:sz="4" w:space="0" w:color="auto"/>
            </w:tcBorders>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r w:rsidRPr="00F16B8D">
              <w:rPr>
                <w:rFonts w:ascii="宋体" w:hAnsi="宋体" w:cs="宋体" w:hint="eastAsia"/>
                <w:color w:val="000000"/>
                <w:kern w:val="0"/>
                <w:szCs w:val="21"/>
              </w:rPr>
              <w:t>贸易强度指数</w:t>
            </w:r>
          </w:p>
        </w:tc>
        <w:tc>
          <w:tcPr>
            <w:tcW w:w="1559" w:type="dxa"/>
            <w:tcBorders>
              <w:top w:val="nil"/>
              <w:bottom w:val="single" w:sz="4" w:space="0" w:color="auto"/>
            </w:tcBorders>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r w:rsidRPr="00F16B8D">
              <w:rPr>
                <w:rFonts w:ascii="宋体" w:hAnsi="宋体" w:cs="宋体" w:hint="eastAsia"/>
                <w:color w:val="000000"/>
                <w:kern w:val="0"/>
                <w:szCs w:val="21"/>
              </w:rPr>
              <w:t>无</w:t>
            </w:r>
          </w:p>
        </w:tc>
        <w:tc>
          <w:tcPr>
            <w:tcW w:w="2788" w:type="dxa"/>
            <w:tcBorders>
              <w:top w:val="nil"/>
              <w:bottom w:val="single" w:sz="4" w:space="0" w:color="auto"/>
            </w:tcBorders>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r w:rsidRPr="00F16B8D">
              <w:rPr>
                <w:rFonts w:ascii="宋体" w:hAnsi="宋体" w:cs="宋体" w:hint="eastAsia"/>
                <w:color w:val="000000"/>
                <w:kern w:val="0"/>
                <w:szCs w:val="21"/>
              </w:rPr>
              <w:t>作者计算</w:t>
            </w:r>
          </w:p>
        </w:tc>
      </w:tr>
      <w:tr w:rsidR="00051959" w:rsidRPr="00F16B8D" w:rsidTr="00F37084">
        <w:trPr>
          <w:trHeight w:val="288"/>
        </w:trPr>
        <w:tc>
          <w:tcPr>
            <w:tcW w:w="1095" w:type="dxa"/>
            <w:vMerge/>
            <w:shd w:val="clear" w:color="auto" w:fill="auto"/>
            <w:noWrap/>
            <w:vAlign w:val="center"/>
            <w:hideMark/>
          </w:tcPr>
          <w:p w:rsidR="00051959" w:rsidRPr="00F16B8D" w:rsidRDefault="00051959" w:rsidP="00F16B8D">
            <w:pPr>
              <w:widowControl/>
              <w:jc w:val="left"/>
              <w:rPr>
                <w:rFonts w:ascii="宋体" w:hAnsi="宋体" w:cs="宋体"/>
                <w:color w:val="000000"/>
                <w:kern w:val="0"/>
                <w:szCs w:val="21"/>
              </w:rPr>
            </w:pPr>
          </w:p>
        </w:tc>
        <w:tc>
          <w:tcPr>
            <w:tcW w:w="1116" w:type="dxa"/>
            <w:vMerge w:val="restart"/>
            <w:tcBorders>
              <w:top w:val="single" w:sz="4" w:space="0" w:color="auto"/>
            </w:tcBorders>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r w:rsidRPr="00F16B8D">
              <w:rPr>
                <w:rFonts w:ascii="宋体" w:hAnsi="宋体" w:cs="宋体" w:hint="eastAsia"/>
                <w:color w:val="000000"/>
                <w:kern w:val="0"/>
                <w:szCs w:val="21"/>
              </w:rPr>
              <w:t>输入变量</w:t>
            </w:r>
          </w:p>
        </w:tc>
        <w:tc>
          <w:tcPr>
            <w:tcW w:w="1900" w:type="dxa"/>
            <w:tcBorders>
              <w:top w:val="single" w:sz="4" w:space="0" w:color="auto"/>
              <w:bottom w:val="nil"/>
            </w:tcBorders>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r w:rsidRPr="00F16B8D">
              <w:rPr>
                <w:rFonts w:ascii="宋体" w:hAnsi="宋体" w:cs="宋体" w:hint="eastAsia"/>
                <w:color w:val="000000"/>
                <w:kern w:val="0"/>
                <w:szCs w:val="21"/>
              </w:rPr>
              <w:t>中国直接投资存量</w:t>
            </w:r>
          </w:p>
        </w:tc>
        <w:tc>
          <w:tcPr>
            <w:tcW w:w="1559" w:type="dxa"/>
            <w:tcBorders>
              <w:top w:val="single" w:sz="4" w:space="0" w:color="auto"/>
              <w:bottom w:val="nil"/>
            </w:tcBorders>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r w:rsidRPr="00F16B8D">
              <w:rPr>
                <w:rFonts w:ascii="宋体" w:hAnsi="宋体" w:cs="宋体" w:hint="eastAsia"/>
                <w:color w:val="000000"/>
                <w:kern w:val="0"/>
                <w:szCs w:val="21"/>
              </w:rPr>
              <w:t>万美元</w:t>
            </w:r>
          </w:p>
        </w:tc>
        <w:tc>
          <w:tcPr>
            <w:tcW w:w="2788" w:type="dxa"/>
            <w:tcBorders>
              <w:top w:val="single" w:sz="4" w:space="0" w:color="auto"/>
              <w:bottom w:val="nil"/>
            </w:tcBorders>
            <w:shd w:val="clear" w:color="auto" w:fill="auto"/>
            <w:noWrap/>
            <w:vAlign w:val="center"/>
            <w:hideMark/>
          </w:tcPr>
          <w:p w:rsidR="00051959" w:rsidRDefault="00051959" w:rsidP="00F37084">
            <w:pPr>
              <w:widowControl/>
              <w:jc w:val="center"/>
              <w:rPr>
                <w:rFonts w:ascii="宋体" w:hAnsi="宋体" w:cs="宋体"/>
                <w:color w:val="000000"/>
                <w:kern w:val="0"/>
                <w:szCs w:val="21"/>
              </w:rPr>
            </w:pPr>
            <w:r w:rsidRPr="00F16B8D">
              <w:rPr>
                <w:rFonts w:ascii="宋体" w:hAnsi="宋体" w:cs="宋体" w:hint="eastAsia"/>
                <w:color w:val="000000"/>
                <w:kern w:val="0"/>
                <w:szCs w:val="21"/>
              </w:rPr>
              <w:t>Wind数据库，</w:t>
            </w:r>
          </w:p>
          <w:p w:rsidR="00051959" w:rsidRPr="00F16B8D" w:rsidRDefault="00051959" w:rsidP="00F37084">
            <w:pPr>
              <w:widowControl/>
              <w:jc w:val="center"/>
              <w:rPr>
                <w:rFonts w:ascii="宋体" w:hAnsi="宋体" w:cs="宋体"/>
                <w:color w:val="000000"/>
                <w:kern w:val="0"/>
                <w:szCs w:val="21"/>
              </w:rPr>
            </w:pPr>
            <w:r w:rsidRPr="00F16B8D">
              <w:rPr>
                <w:rFonts w:ascii="宋体" w:hAnsi="宋体" w:cs="宋体" w:hint="eastAsia"/>
                <w:color w:val="000000"/>
                <w:kern w:val="0"/>
                <w:szCs w:val="21"/>
              </w:rPr>
              <w:t>最终来源商务部</w:t>
            </w:r>
          </w:p>
        </w:tc>
      </w:tr>
      <w:tr w:rsidR="00051959" w:rsidRPr="00F16B8D" w:rsidTr="00F37084">
        <w:trPr>
          <w:trHeight w:val="288"/>
        </w:trPr>
        <w:tc>
          <w:tcPr>
            <w:tcW w:w="1095" w:type="dxa"/>
            <w:vMerge/>
            <w:shd w:val="clear" w:color="auto" w:fill="auto"/>
            <w:noWrap/>
            <w:vAlign w:val="center"/>
            <w:hideMark/>
          </w:tcPr>
          <w:p w:rsidR="00051959" w:rsidRPr="00F16B8D" w:rsidRDefault="00051959" w:rsidP="00F16B8D">
            <w:pPr>
              <w:widowControl/>
              <w:jc w:val="left"/>
              <w:rPr>
                <w:rFonts w:ascii="宋体" w:hAnsi="宋体" w:cs="宋体"/>
                <w:color w:val="000000"/>
                <w:kern w:val="0"/>
                <w:szCs w:val="21"/>
              </w:rPr>
            </w:pPr>
          </w:p>
        </w:tc>
        <w:tc>
          <w:tcPr>
            <w:tcW w:w="1116" w:type="dxa"/>
            <w:vMerge/>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p>
        </w:tc>
        <w:tc>
          <w:tcPr>
            <w:tcW w:w="1900" w:type="dxa"/>
            <w:tcBorders>
              <w:top w:val="nil"/>
              <w:bottom w:val="nil"/>
            </w:tcBorders>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r w:rsidRPr="00F16B8D">
              <w:rPr>
                <w:rFonts w:ascii="宋体" w:hAnsi="宋体" w:cs="宋体" w:hint="eastAsia"/>
                <w:color w:val="000000"/>
                <w:kern w:val="0"/>
                <w:szCs w:val="21"/>
              </w:rPr>
              <w:t>航空运输量：注册承运人全球出港量</w:t>
            </w:r>
          </w:p>
        </w:tc>
        <w:tc>
          <w:tcPr>
            <w:tcW w:w="1559" w:type="dxa"/>
            <w:tcBorders>
              <w:top w:val="nil"/>
              <w:bottom w:val="nil"/>
            </w:tcBorders>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r w:rsidRPr="00F16B8D">
              <w:rPr>
                <w:rFonts w:ascii="宋体" w:hAnsi="宋体" w:cs="宋体" w:hint="eastAsia"/>
                <w:color w:val="000000"/>
                <w:kern w:val="0"/>
                <w:szCs w:val="21"/>
              </w:rPr>
              <w:t>次</w:t>
            </w:r>
          </w:p>
        </w:tc>
        <w:tc>
          <w:tcPr>
            <w:tcW w:w="2788" w:type="dxa"/>
            <w:tcBorders>
              <w:top w:val="nil"/>
              <w:bottom w:val="nil"/>
            </w:tcBorders>
            <w:shd w:val="clear" w:color="auto" w:fill="auto"/>
            <w:noWrap/>
            <w:vAlign w:val="center"/>
            <w:hideMark/>
          </w:tcPr>
          <w:p w:rsidR="00051959" w:rsidRDefault="00051959" w:rsidP="00F37084">
            <w:pPr>
              <w:widowControl/>
              <w:jc w:val="center"/>
              <w:rPr>
                <w:rFonts w:ascii="宋体" w:hAnsi="宋体" w:cs="宋体"/>
                <w:color w:val="000000"/>
                <w:kern w:val="0"/>
                <w:szCs w:val="21"/>
              </w:rPr>
            </w:pPr>
            <w:r w:rsidRPr="00F16B8D">
              <w:rPr>
                <w:rFonts w:ascii="宋体" w:hAnsi="宋体" w:cs="宋体" w:hint="eastAsia"/>
                <w:color w:val="000000"/>
                <w:kern w:val="0"/>
                <w:szCs w:val="21"/>
              </w:rPr>
              <w:t>世界银行数据库，</w:t>
            </w:r>
          </w:p>
          <w:p w:rsidR="00051959" w:rsidRPr="00F16B8D" w:rsidRDefault="00051959" w:rsidP="00F37084">
            <w:pPr>
              <w:widowControl/>
              <w:jc w:val="center"/>
              <w:rPr>
                <w:rFonts w:ascii="宋体" w:hAnsi="宋体" w:cs="宋体"/>
                <w:color w:val="000000"/>
                <w:kern w:val="0"/>
                <w:szCs w:val="21"/>
              </w:rPr>
            </w:pPr>
            <w:r w:rsidRPr="00F16B8D">
              <w:rPr>
                <w:rFonts w:ascii="宋体" w:hAnsi="宋体" w:cs="宋体" w:hint="eastAsia"/>
                <w:color w:val="000000"/>
                <w:kern w:val="0"/>
                <w:szCs w:val="21"/>
              </w:rPr>
              <w:t>最终来源国际民用航空组织</w:t>
            </w:r>
          </w:p>
        </w:tc>
      </w:tr>
      <w:tr w:rsidR="00051959" w:rsidRPr="00F16B8D" w:rsidTr="00F37084">
        <w:trPr>
          <w:trHeight w:val="288"/>
        </w:trPr>
        <w:tc>
          <w:tcPr>
            <w:tcW w:w="1095" w:type="dxa"/>
            <w:vMerge/>
            <w:shd w:val="clear" w:color="auto" w:fill="auto"/>
            <w:noWrap/>
            <w:vAlign w:val="center"/>
            <w:hideMark/>
          </w:tcPr>
          <w:p w:rsidR="00051959" w:rsidRPr="00F16B8D" w:rsidRDefault="00051959" w:rsidP="00F16B8D">
            <w:pPr>
              <w:widowControl/>
              <w:jc w:val="left"/>
              <w:rPr>
                <w:rFonts w:ascii="宋体" w:hAnsi="宋体" w:cs="宋体"/>
                <w:color w:val="000000"/>
                <w:kern w:val="0"/>
                <w:szCs w:val="21"/>
              </w:rPr>
            </w:pPr>
          </w:p>
        </w:tc>
        <w:tc>
          <w:tcPr>
            <w:tcW w:w="1116" w:type="dxa"/>
            <w:vMerge/>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p>
        </w:tc>
        <w:tc>
          <w:tcPr>
            <w:tcW w:w="1900" w:type="dxa"/>
            <w:tcBorders>
              <w:top w:val="nil"/>
              <w:bottom w:val="nil"/>
            </w:tcBorders>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r>
              <w:rPr>
                <w:rFonts w:ascii="宋体" w:hAnsi="宋体" w:cs="宋体" w:hint="eastAsia"/>
                <w:color w:val="000000"/>
                <w:kern w:val="0"/>
                <w:szCs w:val="21"/>
              </w:rPr>
              <w:t>铁路运输量</w:t>
            </w:r>
          </w:p>
        </w:tc>
        <w:tc>
          <w:tcPr>
            <w:tcW w:w="1559" w:type="dxa"/>
            <w:tcBorders>
              <w:top w:val="nil"/>
              <w:bottom w:val="nil"/>
            </w:tcBorders>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r>
              <w:rPr>
                <w:rFonts w:ascii="宋体" w:hAnsi="宋体" w:cs="宋体" w:hint="eastAsia"/>
                <w:color w:val="000000"/>
                <w:kern w:val="0"/>
                <w:szCs w:val="21"/>
              </w:rPr>
              <w:t>百万吨-公里</w:t>
            </w:r>
          </w:p>
        </w:tc>
        <w:tc>
          <w:tcPr>
            <w:tcW w:w="2788" w:type="dxa"/>
            <w:tcBorders>
              <w:top w:val="nil"/>
              <w:bottom w:val="nil"/>
            </w:tcBorders>
            <w:shd w:val="clear" w:color="auto" w:fill="auto"/>
            <w:noWrap/>
            <w:vAlign w:val="center"/>
            <w:hideMark/>
          </w:tcPr>
          <w:p w:rsidR="00051959" w:rsidRDefault="00051959" w:rsidP="00F37084">
            <w:pPr>
              <w:widowControl/>
              <w:jc w:val="center"/>
              <w:rPr>
                <w:rFonts w:ascii="宋体" w:hAnsi="宋体" w:cs="宋体"/>
                <w:color w:val="000000"/>
                <w:kern w:val="0"/>
                <w:szCs w:val="21"/>
              </w:rPr>
            </w:pPr>
            <w:r>
              <w:rPr>
                <w:rFonts w:ascii="宋体" w:hAnsi="宋体" w:cs="宋体" w:hint="eastAsia"/>
                <w:color w:val="000000"/>
                <w:kern w:val="0"/>
                <w:szCs w:val="21"/>
              </w:rPr>
              <w:t>世界银行数据库，</w:t>
            </w:r>
          </w:p>
          <w:p w:rsidR="00051959" w:rsidRPr="00F16B8D" w:rsidRDefault="00051959" w:rsidP="00F37084">
            <w:pPr>
              <w:widowControl/>
              <w:jc w:val="center"/>
              <w:rPr>
                <w:rFonts w:ascii="宋体" w:hAnsi="宋体" w:cs="宋体"/>
                <w:color w:val="000000"/>
                <w:kern w:val="0"/>
                <w:szCs w:val="21"/>
              </w:rPr>
            </w:pPr>
            <w:r>
              <w:rPr>
                <w:rFonts w:ascii="宋体" w:hAnsi="宋体" w:cs="宋体" w:hint="eastAsia"/>
                <w:color w:val="000000"/>
                <w:kern w:val="0"/>
                <w:szCs w:val="21"/>
              </w:rPr>
              <w:t>最终来源国际铁路联盟</w:t>
            </w:r>
          </w:p>
        </w:tc>
      </w:tr>
      <w:tr w:rsidR="00051959" w:rsidRPr="00F16B8D" w:rsidTr="00F37084">
        <w:trPr>
          <w:trHeight w:val="288"/>
        </w:trPr>
        <w:tc>
          <w:tcPr>
            <w:tcW w:w="1095" w:type="dxa"/>
            <w:vMerge/>
            <w:tcBorders>
              <w:bottom w:val="single" w:sz="4" w:space="0" w:color="auto"/>
            </w:tcBorders>
            <w:shd w:val="clear" w:color="auto" w:fill="auto"/>
            <w:noWrap/>
            <w:vAlign w:val="center"/>
            <w:hideMark/>
          </w:tcPr>
          <w:p w:rsidR="00051959" w:rsidRPr="00F16B8D" w:rsidRDefault="00051959" w:rsidP="00F16B8D">
            <w:pPr>
              <w:widowControl/>
              <w:jc w:val="left"/>
              <w:rPr>
                <w:rFonts w:ascii="宋体" w:hAnsi="宋体" w:cs="宋体"/>
                <w:color w:val="000000"/>
                <w:kern w:val="0"/>
                <w:szCs w:val="21"/>
              </w:rPr>
            </w:pPr>
          </w:p>
        </w:tc>
        <w:tc>
          <w:tcPr>
            <w:tcW w:w="1116" w:type="dxa"/>
            <w:vMerge/>
            <w:tcBorders>
              <w:bottom w:val="single" w:sz="4" w:space="0" w:color="auto"/>
            </w:tcBorders>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p>
        </w:tc>
        <w:tc>
          <w:tcPr>
            <w:tcW w:w="1900" w:type="dxa"/>
            <w:tcBorders>
              <w:top w:val="nil"/>
              <w:bottom w:val="single" w:sz="4" w:space="0" w:color="auto"/>
            </w:tcBorders>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r w:rsidRPr="00F16B8D">
              <w:rPr>
                <w:rFonts w:ascii="宋体" w:hAnsi="宋体" w:cs="宋体" w:hint="eastAsia"/>
                <w:color w:val="000000"/>
                <w:kern w:val="0"/>
                <w:szCs w:val="21"/>
              </w:rPr>
              <w:t>贸易和运输相关基础设施质量</w:t>
            </w:r>
          </w:p>
        </w:tc>
        <w:tc>
          <w:tcPr>
            <w:tcW w:w="1559" w:type="dxa"/>
            <w:tcBorders>
              <w:top w:val="nil"/>
              <w:bottom w:val="single" w:sz="4" w:space="0" w:color="auto"/>
            </w:tcBorders>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r w:rsidRPr="00F16B8D">
              <w:rPr>
                <w:rFonts w:ascii="宋体" w:hAnsi="宋体" w:cs="宋体" w:hint="eastAsia"/>
                <w:color w:val="000000"/>
                <w:kern w:val="0"/>
                <w:szCs w:val="21"/>
              </w:rPr>
              <w:t>无</w:t>
            </w:r>
          </w:p>
        </w:tc>
        <w:tc>
          <w:tcPr>
            <w:tcW w:w="2788" w:type="dxa"/>
            <w:tcBorders>
              <w:top w:val="nil"/>
              <w:bottom w:val="single" w:sz="4" w:space="0" w:color="auto"/>
            </w:tcBorders>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r w:rsidRPr="00F16B8D">
              <w:rPr>
                <w:rFonts w:ascii="宋体" w:hAnsi="宋体" w:cs="宋体" w:hint="eastAsia"/>
                <w:color w:val="000000"/>
                <w:kern w:val="0"/>
                <w:szCs w:val="21"/>
              </w:rPr>
              <w:t>世界银行数据库</w:t>
            </w:r>
          </w:p>
        </w:tc>
      </w:tr>
      <w:tr w:rsidR="00051959" w:rsidRPr="00F16B8D" w:rsidTr="00F37084">
        <w:trPr>
          <w:trHeight w:val="288"/>
        </w:trPr>
        <w:tc>
          <w:tcPr>
            <w:tcW w:w="1095" w:type="dxa"/>
            <w:vMerge w:val="restart"/>
            <w:tcBorders>
              <w:top w:val="single" w:sz="4" w:space="0" w:color="auto"/>
            </w:tcBorders>
            <w:shd w:val="clear" w:color="auto" w:fill="auto"/>
            <w:noWrap/>
            <w:vAlign w:val="center"/>
            <w:hideMark/>
          </w:tcPr>
          <w:p w:rsidR="00051959" w:rsidRDefault="00051959" w:rsidP="00F16B8D">
            <w:pPr>
              <w:widowControl/>
              <w:jc w:val="left"/>
              <w:rPr>
                <w:rFonts w:ascii="宋体" w:hAnsi="宋体" w:cs="宋体"/>
                <w:color w:val="000000"/>
                <w:kern w:val="0"/>
                <w:szCs w:val="21"/>
              </w:rPr>
            </w:pPr>
            <w:r w:rsidRPr="00F16B8D">
              <w:rPr>
                <w:rFonts w:ascii="宋体" w:hAnsi="宋体" w:cs="宋体" w:hint="eastAsia"/>
                <w:color w:val="000000"/>
                <w:kern w:val="0"/>
                <w:szCs w:val="21"/>
              </w:rPr>
              <w:t>面板</w:t>
            </w:r>
            <w:proofErr w:type="spellStart"/>
            <w:r w:rsidRPr="00F16B8D">
              <w:rPr>
                <w:rFonts w:ascii="宋体" w:hAnsi="宋体" w:cs="宋体" w:hint="eastAsia"/>
                <w:color w:val="000000"/>
                <w:kern w:val="0"/>
                <w:szCs w:val="21"/>
              </w:rPr>
              <w:t>Tobit</w:t>
            </w:r>
            <w:proofErr w:type="spellEnd"/>
          </w:p>
          <w:p w:rsidR="00051959" w:rsidRPr="00F16B8D" w:rsidRDefault="00051959" w:rsidP="00F16B8D">
            <w:pPr>
              <w:widowControl/>
              <w:jc w:val="left"/>
              <w:rPr>
                <w:rFonts w:ascii="宋体" w:hAnsi="宋体" w:cs="宋体"/>
                <w:color w:val="000000"/>
                <w:kern w:val="0"/>
                <w:szCs w:val="21"/>
              </w:rPr>
            </w:pPr>
            <w:r w:rsidRPr="00F16B8D">
              <w:rPr>
                <w:rFonts w:ascii="宋体" w:hAnsi="宋体" w:cs="宋体" w:hint="eastAsia"/>
                <w:color w:val="000000"/>
                <w:kern w:val="0"/>
                <w:szCs w:val="21"/>
              </w:rPr>
              <w:t>模型</w:t>
            </w:r>
          </w:p>
        </w:tc>
        <w:tc>
          <w:tcPr>
            <w:tcW w:w="1116" w:type="dxa"/>
            <w:tcBorders>
              <w:top w:val="single" w:sz="4" w:space="0" w:color="auto"/>
              <w:bottom w:val="single" w:sz="4" w:space="0" w:color="auto"/>
            </w:tcBorders>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r w:rsidRPr="00F16B8D">
              <w:rPr>
                <w:rFonts w:ascii="宋体" w:hAnsi="宋体" w:cs="宋体" w:hint="eastAsia"/>
                <w:color w:val="000000"/>
                <w:kern w:val="0"/>
                <w:szCs w:val="21"/>
              </w:rPr>
              <w:t>因变量</w:t>
            </w:r>
          </w:p>
        </w:tc>
        <w:tc>
          <w:tcPr>
            <w:tcW w:w="1900" w:type="dxa"/>
            <w:tcBorders>
              <w:top w:val="single" w:sz="4" w:space="0" w:color="auto"/>
              <w:bottom w:val="single" w:sz="4" w:space="0" w:color="auto"/>
            </w:tcBorders>
            <w:shd w:val="clear" w:color="auto" w:fill="auto"/>
            <w:noWrap/>
            <w:vAlign w:val="center"/>
            <w:hideMark/>
          </w:tcPr>
          <w:p w:rsidR="00051959" w:rsidRDefault="00051959" w:rsidP="00F37084">
            <w:pPr>
              <w:widowControl/>
              <w:jc w:val="center"/>
              <w:rPr>
                <w:rFonts w:ascii="宋体" w:hAnsi="宋体" w:cs="宋体"/>
                <w:color w:val="000000"/>
                <w:kern w:val="0"/>
                <w:szCs w:val="21"/>
              </w:rPr>
            </w:pPr>
            <w:r w:rsidRPr="00F16B8D">
              <w:rPr>
                <w:rFonts w:ascii="宋体" w:hAnsi="宋体" w:cs="宋体" w:hint="eastAsia"/>
                <w:color w:val="000000"/>
                <w:kern w:val="0"/>
                <w:szCs w:val="21"/>
              </w:rPr>
              <w:t>技术效率</w:t>
            </w:r>
          </w:p>
          <w:p w:rsidR="00051959" w:rsidRPr="00F16B8D" w:rsidRDefault="00051959" w:rsidP="00F37084">
            <w:pPr>
              <w:widowControl/>
              <w:jc w:val="center"/>
              <w:rPr>
                <w:rFonts w:ascii="宋体" w:hAnsi="宋体" w:cs="宋体"/>
                <w:color w:val="000000"/>
                <w:kern w:val="0"/>
                <w:szCs w:val="21"/>
              </w:rPr>
            </w:pPr>
            <w:r w:rsidRPr="00F16B8D">
              <w:rPr>
                <w:rFonts w:ascii="宋体" w:hAnsi="宋体" w:cs="宋体" w:hint="eastAsia"/>
                <w:color w:val="000000"/>
                <w:kern w:val="0"/>
                <w:szCs w:val="21"/>
              </w:rPr>
              <w:t>（EFF）</w:t>
            </w:r>
          </w:p>
        </w:tc>
        <w:tc>
          <w:tcPr>
            <w:tcW w:w="1559" w:type="dxa"/>
            <w:tcBorders>
              <w:top w:val="single" w:sz="4" w:space="0" w:color="auto"/>
              <w:bottom w:val="single" w:sz="4" w:space="0" w:color="auto"/>
            </w:tcBorders>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r w:rsidRPr="00F16B8D">
              <w:rPr>
                <w:rFonts w:ascii="宋体" w:hAnsi="宋体" w:cs="宋体" w:hint="eastAsia"/>
                <w:color w:val="000000"/>
                <w:kern w:val="0"/>
                <w:szCs w:val="21"/>
              </w:rPr>
              <w:t>无</w:t>
            </w:r>
          </w:p>
        </w:tc>
        <w:tc>
          <w:tcPr>
            <w:tcW w:w="2788" w:type="dxa"/>
            <w:tcBorders>
              <w:top w:val="single" w:sz="4" w:space="0" w:color="auto"/>
              <w:bottom w:val="single" w:sz="4" w:space="0" w:color="auto"/>
            </w:tcBorders>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r w:rsidRPr="00F16B8D">
              <w:rPr>
                <w:rFonts w:ascii="宋体" w:hAnsi="宋体" w:cs="宋体" w:hint="eastAsia"/>
                <w:color w:val="000000"/>
                <w:kern w:val="0"/>
                <w:szCs w:val="21"/>
              </w:rPr>
              <w:t>DEA模型计算所得</w:t>
            </w:r>
          </w:p>
        </w:tc>
      </w:tr>
      <w:tr w:rsidR="00051959" w:rsidRPr="00F16B8D" w:rsidTr="00F37084">
        <w:trPr>
          <w:trHeight w:val="288"/>
        </w:trPr>
        <w:tc>
          <w:tcPr>
            <w:tcW w:w="1095" w:type="dxa"/>
            <w:vMerge/>
            <w:shd w:val="clear" w:color="auto" w:fill="auto"/>
            <w:noWrap/>
            <w:vAlign w:val="center"/>
            <w:hideMark/>
          </w:tcPr>
          <w:p w:rsidR="00051959" w:rsidRPr="00F16B8D" w:rsidRDefault="00051959" w:rsidP="00F16B8D">
            <w:pPr>
              <w:widowControl/>
              <w:jc w:val="left"/>
              <w:rPr>
                <w:rFonts w:ascii="宋体" w:hAnsi="宋体" w:cs="宋体"/>
                <w:color w:val="000000"/>
                <w:kern w:val="0"/>
                <w:szCs w:val="21"/>
              </w:rPr>
            </w:pPr>
          </w:p>
        </w:tc>
        <w:tc>
          <w:tcPr>
            <w:tcW w:w="1116" w:type="dxa"/>
            <w:vMerge w:val="restart"/>
            <w:tcBorders>
              <w:top w:val="single" w:sz="4" w:space="0" w:color="auto"/>
            </w:tcBorders>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r w:rsidRPr="00F16B8D">
              <w:rPr>
                <w:rFonts w:ascii="宋体" w:hAnsi="宋体" w:cs="宋体" w:hint="eastAsia"/>
                <w:color w:val="000000"/>
                <w:kern w:val="0"/>
                <w:szCs w:val="21"/>
              </w:rPr>
              <w:t>自变量</w:t>
            </w:r>
          </w:p>
        </w:tc>
        <w:tc>
          <w:tcPr>
            <w:tcW w:w="1900" w:type="dxa"/>
            <w:tcBorders>
              <w:top w:val="single" w:sz="4" w:space="0" w:color="auto"/>
            </w:tcBorders>
            <w:shd w:val="clear" w:color="auto" w:fill="auto"/>
            <w:noWrap/>
            <w:vAlign w:val="center"/>
            <w:hideMark/>
          </w:tcPr>
          <w:p w:rsidR="00051959" w:rsidRPr="00F16B8D" w:rsidRDefault="00051959" w:rsidP="005721B0">
            <w:pPr>
              <w:widowControl/>
              <w:jc w:val="center"/>
              <w:rPr>
                <w:rFonts w:ascii="宋体" w:hAnsi="宋体" w:cs="宋体"/>
                <w:color w:val="000000"/>
                <w:kern w:val="0"/>
                <w:szCs w:val="21"/>
              </w:rPr>
            </w:pPr>
            <w:r w:rsidRPr="00F16B8D">
              <w:rPr>
                <w:rFonts w:ascii="宋体" w:hAnsi="宋体" w:cs="宋体" w:hint="eastAsia"/>
                <w:color w:val="000000"/>
                <w:kern w:val="0"/>
                <w:szCs w:val="21"/>
              </w:rPr>
              <w:t>开办企业</w:t>
            </w:r>
          </w:p>
        </w:tc>
        <w:tc>
          <w:tcPr>
            <w:tcW w:w="1559" w:type="dxa"/>
            <w:tcBorders>
              <w:top w:val="single" w:sz="4" w:space="0" w:color="auto"/>
            </w:tcBorders>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r w:rsidRPr="00F16B8D">
              <w:rPr>
                <w:rFonts w:ascii="宋体" w:hAnsi="宋体" w:cs="宋体" w:hint="eastAsia"/>
                <w:color w:val="000000"/>
                <w:kern w:val="0"/>
                <w:szCs w:val="21"/>
              </w:rPr>
              <w:t>无</w:t>
            </w:r>
          </w:p>
        </w:tc>
        <w:tc>
          <w:tcPr>
            <w:tcW w:w="2788" w:type="dxa"/>
            <w:tcBorders>
              <w:top w:val="single" w:sz="4" w:space="0" w:color="auto"/>
            </w:tcBorders>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r w:rsidRPr="00F16B8D">
              <w:rPr>
                <w:rFonts w:ascii="宋体" w:hAnsi="宋体" w:cs="宋体" w:hint="eastAsia"/>
                <w:color w:val="000000"/>
                <w:kern w:val="0"/>
                <w:szCs w:val="21"/>
              </w:rPr>
              <w:t>世界银行营商环境报告</w:t>
            </w:r>
          </w:p>
        </w:tc>
      </w:tr>
      <w:tr w:rsidR="00051959" w:rsidRPr="00F16B8D" w:rsidTr="00F37084">
        <w:trPr>
          <w:trHeight w:val="288"/>
        </w:trPr>
        <w:tc>
          <w:tcPr>
            <w:tcW w:w="1095" w:type="dxa"/>
            <w:vMerge/>
            <w:shd w:val="clear" w:color="auto" w:fill="auto"/>
            <w:noWrap/>
            <w:vAlign w:val="center"/>
            <w:hideMark/>
          </w:tcPr>
          <w:p w:rsidR="00051959" w:rsidRPr="00F16B8D" w:rsidRDefault="00051959" w:rsidP="00F16B8D">
            <w:pPr>
              <w:widowControl/>
              <w:jc w:val="left"/>
              <w:rPr>
                <w:rFonts w:ascii="宋体" w:hAnsi="宋体" w:cs="宋体"/>
                <w:color w:val="000000"/>
                <w:kern w:val="0"/>
                <w:szCs w:val="21"/>
              </w:rPr>
            </w:pPr>
          </w:p>
        </w:tc>
        <w:tc>
          <w:tcPr>
            <w:tcW w:w="1116" w:type="dxa"/>
            <w:vMerge/>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p>
        </w:tc>
        <w:tc>
          <w:tcPr>
            <w:tcW w:w="1900" w:type="dxa"/>
            <w:shd w:val="clear" w:color="auto" w:fill="auto"/>
            <w:noWrap/>
            <w:vAlign w:val="center"/>
            <w:hideMark/>
          </w:tcPr>
          <w:p w:rsidR="00051959" w:rsidRPr="00F16B8D" w:rsidRDefault="00051959" w:rsidP="005721B0">
            <w:pPr>
              <w:widowControl/>
              <w:jc w:val="center"/>
              <w:rPr>
                <w:rFonts w:ascii="宋体" w:hAnsi="宋体" w:cs="宋体"/>
                <w:color w:val="000000"/>
                <w:kern w:val="0"/>
                <w:szCs w:val="21"/>
              </w:rPr>
            </w:pPr>
            <w:r w:rsidRPr="00F16B8D">
              <w:rPr>
                <w:rFonts w:ascii="宋体" w:hAnsi="宋体" w:cs="宋体" w:hint="eastAsia"/>
                <w:color w:val="000000"/>
                <w:kern w:val="0"/>
                <w:szCs w:val="21"/>
              </w:rPr>
              <w:t>获得建筑许可</w:t>
            </w:r>
          </w:p>
        </w:tc>
        <w:tc>
          <w:tcPr>
            <w:tcW w:w="1559" w:type="dxa"/>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r w:rsidRPr="00F16B8D">
              <w:rPr>
                <w:rFonts w:ascii="宋体" w:hAnsi="宋体" w:cs="宋体" w:hint="eastAsia"/>
                <w:color w:val="000000"/>
                <w:kern w:val="0"/>
                <w:szCs w:val="21"/>
              </w:rPr>
              <w:t>无</w:t>
            </w:r>
          </w:p>
        </w:tc>
        <w:tc>
          <w:tcPr>
            <w:tcW w:w="2788" w:type="dxa"/>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r w:rsidRPr="00F16B8D">
              <w:rPr>
                <w:rFonts w:ascii="宋体" w:hAnsi="宋体" w:cs="宋体" w:hint="eastAsia"/>
                <w:color w:val="000000"/>
                <w:kern w:val="0"/>
                <w:szCs w:val="21"/>
              </w:rPr>
              <w:t>世界银行营商环境报告</w:t>
            </w:r>
          </w:p>
        </w:tc>
      </w:tr>
      <w:tr w:rsidR="00051959" w:rsidRPr="00F16B8D" w:rsidTr="00F37084">
        <w:trPr>
          <w:trHeight w:val="288"/>
        </w:trPr>
        <w:tc>
          <w:tcPr>
            <w:tcW w:w="1095" w:type="dxa"/>
            <w:vMerge/>
            <w:shd w:val="clear" w:color="auto" w:fill="auto"/>
            <w:noWrap/>
            <w:vAlign w:val="center"/>
            <w:hideMark/>
          </w:tcPr>
          <w:p w:rsidR="00051959" w:rsidRPr="00F16B8D" w:rsidRDefault="00051959" w:rsidP="00F16B8D">
            <w:pPr>
              <w:widowControl/>
              <w:jc w:val="left"/>
              <w:rPr>
                <w:rFonts w:ascii="宋体" w:hAnsi="宋体" w:cs="宋体"/>
                <w:color w:val="000000"/>
                <w:kern w:val="0"/>
                <w:szCs w:val="21"/>
              </w:rPr>
            </w:pPr>
          </w:p>
        </w:tc>
        <w:tc>
          <w:tcPr>
            <w:tcW w:w="1116" w:type="dxa"/>
            <w:vMerge/>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p>
        </w:tc>
        <w:tc>
          <w:tcPr>
            <w:tcW w:w="1900" w:type="dxa"/>
            <w:shd w:val="clear" w:color="auto" w:fill="auto"/>
            <w:noWrap/>
            <w:vAlign w:val="center"/>
            <w:hideMark/>
          </w:tcPr>
          <w:p w:rsidR="00051959" w:rsidRPr="00F16B8D" w:rsidRDefault="00051959" w:rsidP="005721B0">
            <w:pPr>
              <w:widowControl/>
              <w:jc w:val="center"/>
              <w:rPr>
                <w:rFonts w:ascii="宋体" w:hAnsi="宋体" w:cs="宋体"/>
                <w:color w:val="000000"/>
                <w:kern w:val="0"/>
                <w:szCs w:val="21"/>
              </w:rPr>
            </w:pPr>
            <w:r w:rsidRPr="00F16B8D">
              <w:rPr>
                <w:rFonts w:ascii="宋体" w:hAnsi="宋体" w:cs="宋体" w:hint="eastAsia"/>
                <w:color w:val="000000"/>
                <w:kern w:val="0"/>
                <w:szCs w:val="21"/>
              </w:rPr>
              <w:t>获得电力</w:t>
            </w:r>
          </w:p>
        </w:tc>
        <w:tc>
          <w:tcPr>
            <w:tcW w:w="1559" w:type="dxa"/>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r w:rsidRPr="00F16B8D">
              <w:rPr>
                <w:rFonts w:ascii="宋体" w:hAnsi="宋体" w:cs="宋体" w:hint="eastAsia"/>
                <w:color w:val="000000"/>
                <w:kern w:val="0"/>
                <w:szCs w:val="21"/>
              </w:rPr>
              <w:t>无</w:t>
            </w:r>
          </w:p>
        </w:tc>
        <w:tc>
          <w:tcPr>
            <w:tcW w:w="2788" w:type="dxa"/>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r w:rsidRPr="00F16B8D">
              <w:rPr>
                <w:rFonts w:ascii="宋体" w:hAnsi="宋体" w:cs="宋体" w:hint="eastAsia"/>
                <w:color w:val="000000"/>
                <w:kern w:val="0"/>
                <w:szCs w:val="21"/>
              </w:rPr>
              <w:t>世界银行营商环境报告</w:t>
            </w:r>
          </w:p>
        </w:tc>
      </w:tr>
      <w:tr w:rsidR="00051959" w:rsidRPr="00F16B8D" w:rsidTr="00F37084">
        <w:trPr>
          <w:trHeight w:val="288"/>
        </w:trPr>
        <w:tc>
          <w:tcPr>
            <w:tcW w:w="1095" w:type="dxa"/>
            <w:vMerge/>
            <w:shd w:val="clear" w:color="auto" w:fill="auto"/>
            <w:noWrap/>
            <w:vAlign w:val="center"/>
            <w:hideMark/>
          </w:tcPr>
          <w:p w:rsidR="00051959" w:rsidRPr="00F16B8D" w:rsidRDefault="00051959" w:rsidP="00F16B8D">
            <w:pPr>
              <w:widowControl/>
              <w:jc w:val="left"/>
              <w:rPr>
                <w:rFonts w:ascii="宋体" w:hAnsi="宋体" w:cs="宋体"/>
                <w:color w:val="000000"/>
                <w:kern w:val="0"/>
                <w:szCs w:val="21"/>
              </w:rPr>
            </w:pPr>
          </w:p>
        </w:tc>
        <w:tc>
          <w:tcPr>
            <w:tcW w:w="1116" w:type="dxa"/>
            <w:vMerge/>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p>
        </w:tc>
        <w:tc>
          <w:tcPr>
            <w:tcW w:w="1900" w:type="dxa"/>
            <w:shd w:val="clear" w:color="auto" w:fill="auto"/>
            <w:noWrap/>
            <w:vAlign w:val="center"/>
            <w:hideMark/>
          </w:tcPr>
          <w:p w:rsidR="00051959" w:rsidRPr="00F16B8D" w:rsidRDefault="00051959" w:rsidP="005721B0">
            <w:pPr>
              <w:widowControl/>
              <w:jc w:val="center"/>
              <w:rPr>
                <w:rFonts w:ascii="宋体" w:hAnsi="宋体" w:cs="宋体"/>
                <w:color w:val="000000"/>
                <w:kern w:val="0"/>
                <w:szCs w:val="21"/>
              </w:rPr>
            </w:pPr>
            <w:r w:rsidRPr="00F16B8D">
              <w:rPr>
                <w:rFonts w:ascii="宋体" w:hAnsi="宋体" w:cs="宋体" w:hint="eastAsia"/>
                <w:color w:val="000000"/>
                <w:kern w:val="0"/>
                <w:szCs w:val="21"/>
              </w:rPr>
              <w:t>财产注册</w:t>
            </w:r>
          </w:p>
        </w:tc>
        <w:tc>
          <w:tcPr>
            <w:tcW w:w="1559" w:type="dxa"/>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r w:rsidRPr="00F16B8D">
              <w:rPr>
                <w:rFonts w:ascii="宋体" w:hAnsi="宋体" w:cs="宋体" w:hint="eastAsia"/>
                <w:color w:val="000000"/>
                <w:kern w:val="0"/>
                <w:szCs w:val="21"/>
              </w:rPr>
              <w:t>无</w:t>
            </w:r>
          </w:p>
        </w:tc>
        <w:tc>
          <w:tcPr>
            <w:tcW w:w="2788" w:type="dxa"/>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r w:rsidRPr="00F16B8D">
              <w:rPr>
                <w:rFonts w:ascii="宋体" w:hAnsi="宋体" w:cs="宋体" w:hint="eastAsia"/>
                <w:color w:val="000000"/>
                <w:kern w:val="0"/>
                <w:szCs w:val="21"/>
              </w:rPr>
              <w:t>世界银行营商环境报告</w:t>
            </w:r>
          </w:p>
        </w:tc>
      </w:tr>
      <w:tr w:rsidR="00051959" w:rsidRPr="00F16B8D" w:rsidTr="00F37084">
        <w:trPr>
          <w:trHeight w:val="288"/>
        </w:trPr>
        <w:tc>
          <w:tcPr>
            <w:tcW w:w="1095" w:type="dxa"/>
            <w:vMerge/>
            <w:shd w:val="clear" w:color="auto" w:fill="auto"/>
            <w:noWrap/>
            <w:vAlign w:val="center"/>
            <w:hideMark/>
          </w:tcPr>
          <w:p w:rsidR="00051959" w:rsidRPr="00F16B8D" w:rsidRDefault="00051959" w:rsidP="00F16B8D">
            <w:pPr>
              <w:widowControl/>
              <w:jc w:val="left"/>
              <w:rPr>
                <w:rFonts w:ascii="宋体" w:hAnsi="宋体" w:cs="宋体"/>
                <w:color w:val="000000"/>
                <w:kern w:val="0"/>
                <w:szCs w:val="21"/>
              </w:rPr>
            </w:pPr>
          </w:p>
        </w:tc>
        <w:tc>
          <w:tcPr>
            <w:tcW w:w="1116" w:type="dxa"/>
            <w:vMerge/>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p>
        </w:tc>
        <w:tc>
          <w:tcPr>
            <w:tcW w:w="1900" w:type="dxa"/>
            <w:shd w:val="clear" w:color="auto" w:fill="auto"/>
            <w:noWrap/>
            <w:vAlign w:val="center"/>
            <w:hideMark/>
          </w:tcPr>
          <w:p w:rsidR="00051959" w:rsidRPr="00F16B8D" w:rsidRDefault="00051959" w:rsidP="005721B0">
            <w:pPr>
              <w:widowControl/>
              <w:jc w:val="center"/>
              <w:rPr>
                <w:rFonts w:ascii="宋体" w:hAnsi="宋体" w:cs="宋体"/>
                <w:color w:val="000000"/>
                <w:kern w:val="0"/>
                <w:szCs w:val="21"/>
              </w:rPr>
            </w:pPr>
            <w:r w:rsidRPr="00F16B8D">
              <w:rPr>
                <w:rFonts w:ascii="宋体" w:hAnsi="宋体" w:cs="宋体" w:hint="eastAsia"/>
                <w:color w:val="000000"/>
                <w:kern w:val="0"/>
                <w:szCs w:val="21"/>
              </w:rPr>
              <w:t>获得信贷</w:t>
            </w:r>
          </w:p>
        </w:tc>
        <w:tc>
          <w:tcPr>
            <w:tcW w:w="1559" w:type="dxa"/>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r w:rsidRPr="00F16B8D">
              <w:rPr>
                <w:rFonts w:ascii="宋体" w:hAnsi="宋体" w:cs="宋体" w:hint="eastAsia"/>
                <w:color w:val="000000"/>
                <w:kern w:val="0"/>
                <w:szCs w:val="21"/>
              </w:rPr>
              <w:t>无</w:t>
            </w:r>
          </w:p>
        </w:tc>
        <w:tc>
          <w:tcPr>
            <w:tcW w:w="2788" w:type="dxa"/>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r w:rsidRPr="00F16B8D">
              <w:rPr>
                <w:rFonts w:ascii="宋体" w:hAnsi="宋体" w:cs="宋体" w:hint="eastAsia"/>
                <w:color w:val="000000"/>
                <w:kern w:val="0"/>
                <w:szCs w:val="21"/>
              </w:rPr>
              <w:t>世界银行营商环境报告</w:t>
            </w:r>
          </w:p>
        </w:tc>
      </w:tr>
      <w:tr w:rsidR="00051959" w:rsidRPr="00F16B8D" w:rsidTr="00F37084">
        <w:trPr>
          <w:trHeight w:val="288"/>
        </w:trPr>
        <w:tc>
          <w:tcPr>
            <w:tcW w:w="1095" w:type="dxa"/>
            <w:vMerge/>
            <w:shd w:val="clear" w:color="auto" w:fill="auto"/>
            <w:noWrap/>
            <w:vAlign w:val="center"/>
            <w:hideMark/>
          </w:tcPr>
          <w:p w:rsidR="00051959" w:rsidRPr="00F16B8D" w:rsidRDefault="00051959" w:rsidP="00F16B8D">
            <w:pPr>
              <w:widowControl/>
              <w:jc w:val="left"/>
              <w:rPr>
                <w:rFonts w:ascii="宋体" w:hAnsi="宋体" w:cs="宋体"/>
                <w:color w:val="000000"/>
                <w:kern w:val="0"/>
                <w:szCs w:val="21"/>
              </w:rPr>
            </w:pPr>
          </w:p>
        </w:tc>
        <w:tc>
          <w:tcPr>
            <w:tcW w:w="1116" w:type="dxa"/>
            <w:vMerge/>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p>
        </w:tc>
        <w:tc>
          <w:tcPr>
            <w:tcW w:w="1900" w:type="dxa"/>
            <w:shd w:val="clear" w:color="auto" w:fill="auto"/>
            <w:noWrap/>
            <w:vAlign w:val="center"/>
            <w:hideMark/>
          </w:tcPr>
          <w:p w:rsidR="00051959" w:rsidRPr="00F16B8D" w:rsidRDefault="00051959" w:rsidP="005721B0">
            <w:pPr>
              <w:widowControl/>
              <w:jc w:val="center"/>
              <w:rPr>
                <w:rFonts w:ascii="宋体" w:hAnsi="宋体" w:cs="宋体"/>
                <w:color w:val="000000"/>
                <w:kern w:val="0"/>
                <w:szCs w:val="21"/>
              </w:rPr>
            </w:pPr>
            <w:r w:rsidRPr="00F16B8D">
              <w:rPr>
                <w:rFonts w:ascii="宋体" w:hAnsi="宋体" w:cs="宋体" w:hint="eastAsia"/>
                <w:color w:val="000000"/>
                <w:kern w:val="0"/>
                <w:szCs w:val="21"/>
              </w:rPr>
              <w:t>投资者保护</w:t>
            </w:r>
          </w:p>
        </w:tc>
        <w:tc>
          <w:tcPr>
            <w:tcW w:w="1559" w:type="dxa"/>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r w:rsidRPr="00F16B8D">
              <w:rPr>
                <w:rFonts w:ascii="宋体" w:hAnsi="宋体" w:cs="宋体" w:hint="eastAsia"/>
                <w:color w:val="000000"/>
                <w:kern w:val="0"/>
                <w:szCs w:val="21"/>
              </w:rPr>
              <w:t>无</w:t>
            </w:r>
          </w:p>
        </w:tc>
        <w:tc>
          <w:tcPr>
            <w:tcW w:w="2788" w:type="dxa"/>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r w:rsidRPr="00F16B8D">
              <w:rPr>
                <w:rFonts w:ascii="宋体" w:hAnsi="宋体" w:cs="宋体" w:hint="eastAsia"/>
                <w:color w:val="000000"/>
                <w:kern w:val="0"/>
                <w:szCs w:val="21"/>
              </w:rPr>
              <w:t>世界银行营商环境报告</w:t>
            </w:r>
          </w:p>
        </w:tc>
      </w:tr>
      <w:tr w:rsidR="00051959" w:rsidRPr="00F16B8D" w:rsidTr="00F37084">
        <w:trPr>
          <w:trHeight w:val="300"/>
        </w:trPr>
        <w:tc>
          <w:tcPr>
            <w:tcW w:w="1095" w:type="dxa"/>
            <w:vMerge/>
            <w:shd w:val="clear" w:color="auto" w:fill="auto"/>
            <w:noWrap/>
            <w:vAlign w:val="center"/>
            <w:hideMark/>
          </w:tcPr>
          <w:p w:rsidR="00051959" w:rsidRPr="00F16B8D" w:rsidRDefault="00051959" w:rsidP="00F16B8D">
            <w:pPr>
              <w:widowControl/>
              <w:jc w:val="left"/>
              <w:rPr>
                <w:rFonts w:ascii="宋体" w:hAnsi="宋体" w:cs="宋体"/>
                <w:color w:val="000000"/>
                <w:kern w:val="0"/>
                <w:szCs w:val="21"/>
              </w:rPr>
            </w:pPr>
          </w:p>
        </w:tc>
        <w:tc>
          <w:tcPr>
            <w:tcW w:w="1116" w:type="dxa"/>
            <w:vMerge/>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p>
        </w:tc>
        <w:tc>
          <w:tcPr>
            <w:tcW w:w="1900" w:type="dxa"/>
            <w:shd w:val="clear" w:color="auto" w:fill="auto"/>
            <w:noWrap/>
            <w:vAlign w:val="center"/>
            <w:hideMark/>
          </w:tcPr>
          <w:p w:rsidR="00051959" w:rsidRPr="00F16B8D" w:rsidRDefault="00051959" w:rsidP="005721B0">
            <w:pPr>
              <w:widowControl/>
              <w:jc w:val="center"/>
              <w:rPr>
                <w:rFonts w:ascii="宋体" w:hAnsi="宋体" w:cs="宋体"/>
                <w:color w:val="000000"/>
                <w:kern w:val="0"/>
                <w:szCs w:val="21"/>
              </w:rPr>
            </w:pPr>
            <w:r w:rsidRPr="00F16B8D">
              <w:rPr>
                <w:rFonts w:ascii="宋体" w:hAnsi="宋体" w:cs="宋体" w:hint="eastAsia"/>
                <w:color w:val="000000"/>
                <w:kern w:val="0"/>
                <w:szCs w:val="21"/>
              </w:rPr>
              <w:t>税收</w:t>
            </w:r>
          </w:p>
        </w:tc>
        <w:tc>
          <w:tcPr>
            <w:tcW w:w="1559" w:type="dxa"/>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r w:rsidRPr="00F16B8D">
              <w:rPr>
                <w:rFonts w:ascii="宋体" w:hAnsi="宋体" w:cs="宋体" w:hint="eastAsia"/>
                <w:color w:val="000000"/>
                <w:kern w:val="0"/>
                <w:szCs w:val="21"/>
              </w:rPr>
              <w:t>无</w:t>
            </w:r>
          </w:p>
        </w:tc>
        <w:tc>
          <w:tcPr>
            <w:tcW w:w="2788" w:type="dxa"/>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r w:rsidRPr="00F16B8D">
              <w:rPr>
                <w:rFonts w:ascii="宋体" w:hAnsi="宋体" w:cs="宋体" w:hint="eastAsia"/>
                <w:color w:val="000000"/>
                <w:kern w:val="0"/>
                <w:szCs w:val="21"/>
              </w:rPr>
              <w:t>世界银行营商环境报告</w:t>
            </w:r>
          </w:p>
        </w:tc>
      </w:tr>
      <w:tr w:rsidR="00051959" w:rsidRPr="00F16B8D" w:rsidTr="00F37084">
        <w:trPr>
          <w:trHeight w:val="288"/>
        </w:trPr>
        <w:tc>
          <w:tcPr>
            <w:tcW w:w="1095" w:type="dxa"/>
            <w:vMerge/>
            <w:shd w:val="clear" w:color="auto" w:fill="auto"/>
            <w:noWrap/>
            <w:vAlign w:val="center"/>
            <w:hideMark/>
          </w:tcPr>
          <w:p w:rsidR="00051959" w:rsidRPr="00F16B8D" w:rsidRDefault="00051959" w:rsidP="00F16B8D">
            <w:pPr>
              <w:widowControl/>
              <w:jc w:val="left"/>
              <w:rPr>
                <w:rFonts w:ascii="宋体" w:hAnsi="宋体" w:cs="宋体"/>
                <w:color w:val="000000"/>
                <w:kern w:val="0"/>
                <w:szCs w:val="21"/>
              </w:rPr>
            </w:pPr>
          </w:p>
        </w:tc>
        <w:tc>
          <w:tcPr>
            <w:tcW w:w="1116" w:type="dxa"/>
            <w:vMerge/>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p>
        </w:tc>
        <w:tc>
          <w:tcPr>
            <w:tcW w:w="1900" w:type="dxa"/>
            <w:shd w:val="clear" w:color="auto" w:fill="auto"/>
            <w:noWrap/>
            <w:vAlign w:val="center"/>
            <w:hideMark/>
          </w:tcPr>
          <w:p w:rsidR="00051959" w:rsidRPr="00F16B8D" w:rsidRDefault="00051959" w:rsidP="005721B0">
            <w:pPr>
              <w:widowControl/>
              <w:jc w:val="center"/>
              <w:rPr>
                <w:rFonts w:ascii="宋体" w:hAnsi="宋体" w:cs="宋体"/>
                <w:color w:val="000000"/>
                <w:kern w:val="0"/>
                <w:szCs w:val="21"/>
              </w:rPr>
            </w:pPr>
            <w:r w:rsidRPr="00F16B8D">
              <w:rPr>
                <w:rFonts w:ascii="宋体" w:hAnsi="宋体" w:cs="宋体" w:hint="eastAsia"/>
                <w:color w:val="000000"/>
                <w:kern w:val="0"/>
                <w:szCs w:val="21"/>
              </w:rPr>
              <w:t>合同执行</w:t>
            </w:r>
          </w:p>
        </w:tc>
        <w:tc>
          <w:tcPr>
            <w:tcW w:w="1559" w:type="dxa"/>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r w:rsidRPr="00F16B8D">
              <w:rPr>
                <w:rFonts w:ascii="宋体" w:hAnsi="宋体" w:cs="宋体" w:hint="eastAsia"/>
                <w:color w:val="000000"/>
                <w:kern w:val="0"/>
                <w:szCs w:val="21"/>
              </w:rPr>
              <w:t>无</w:t>
            </w:r>
          </w:p>
        </w:tc>
        <w:tc>
          <w:tcPr>
            <w:tcW w:w="2788" w:type="dxa"/>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r w:rsidRPr="00F16B8D">
              <w:rPr>
                <w:rFonts w:ascii="宋体" w:hAnsi="宋体" w:cs="宋体" w:hint="eastAsia"/>
                <w:color w:val="000000"/>
                <w:kern w:val="0"/>
                <w:szCs w:val="21"/>
              </w:rPr>
              <w:t>世界银行营商环境报告</w:t>
            </w:r>
          </w:p>
        </w:tc>
      </w:tr>
      <w:tr w:rsidR="00051959" w:rsidRPr="00F16B8D" w:rsidTr="00F37084">
        <w:trPr>
          <w:trHeight w:val="288"/>
        </w:trPr>
        <w:tc>
          <w:tcPr>
            <w:tcW w:w="1095" w:type="dxa"/>
            <w:vMerge/>
            <w:shd w:val="clear" w:color="auto" w:fill="auto"/>
            <w:noWrap/>
            <w:vAlign w:val="center"/>
            <w:hideMark/>
          </w:tcPr>
          <w:p w:rsidR="00051959" w:rsidRPr="00F16B8D" w:rsidRDefault="00051959" w:rsidP="00F16B8D">
            <w:pPr>
              <w:widowControl/>
              <w:jc w:val="left"/>
              <w:rPr>
                <w:rFonts w:ascii="宋体" w:hAnsi="宋体" w:cs="宋体"/>
                <w:color w:val="000000"/>
                <w:kern w:val="0"/>
                <w:szCs w:val="21"/>
              </w:rPr>
            </w:pPr>
          </w:p>
        </w:tc>
        <w:tc>
          <w:tcPr>
            <w:tcW w:w="1116" w:type="dxa"/>
            <w:vMerge/>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p>
        </w:tc>
        <w:tc>
          <w:tcPr>
            <w:tcW w:w="1900" w:type="dxa"/>
            <w:shd w:val="clear" w:color="auto" w:fill="auto"/>
            <w:noWrap/>
            <w:vAlign w:val="center"/>
            <w:hideMark/>
          </w:tcPr>
          <w:p w:rsidR="00051959" w:rsidRPr="00F16B8D" w:rsidRDefault="00051959" w:rsidP="005721B0">
            <w:pPr>
              <w:widowControl/>
              <w:jc w:val="center"/>
              <w:rPr>
                <w:rFonts w:ascii="宋体" w:hAnsi="宋体" w:cs="宋体"/>
                <w:color w:val="000000"/>
                <w:kern w:val="0"/>
                <w:szCs w:val="21"/>
              </w:rPr>
            </w:pPr>
            <w:r w:rsidRPr="00F16B8D">
              <w:rPr>
                <w:rFonts w:ascii="宋体" w:hAnsi="宋体" w:cs="宋体" w:hint="eastAsia"/>
                <w:color w:val="000000"/>
                <w:kern w:val="0"/>
                <w:szCs w:val="21"/>
              </w:rPr>
              <w:t>跨境贸易</w:t>
            </w:r>
          </w:p>
        </w:tc>
        <w:tc>
          <w:tcPr>
            <w:tcW w:w="1559" w:type="dxa"/>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r w:rsidRPr="00F16B8D">
              <w:rPr>
                <w:rFonts w:ascii="宋体" w:hAnsi="宋体" w:cs="宋体" w:hint="eastAsia"/>
                <w:color w:val="000000"/>
                <w:kern w:val="0"/>
                <w:szCs w:val="21"/>
              </w:rPr>
              <w:t>无</w:t>
            </w:r>
          </w:p>
        </w:tc>
        <w:tc>
          <w:tcPr>
            <w:tcW w:w="2788" w:type="dxa"/>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r w:rsidRPr="00F16B8D">
              <w:rPr>
                <w:rFonts w:ascii="宋体" w:hAnsi="宋体" w:cs="宋体" w:hint="eastAsia"/>
                <w:color w:val="000000"/>
                <w:kern w:val="0"/>
                <w:szCs w:val="21"/>
              </w:rPr>
              <w:t>世界银行营商环境报告</w:t>
            </w:r>
          </w:p>
        </w:tc>
      </w:tr>
      <w:tr w:rsidR="00051959" w:rsidRPr="00F16B8D" w:rsidTr="00F37084">
        <w:trPr>
          <w:trHeight w:val="288"/>
        </w:trPr>
        <w:tc>
          <w:tcPr>
            <w:tcW w:w="1095" w:type="dxa"/>
            <w:vMerge/>
            <w:shd w:val="clear" w:color="auto" w:fill="auto"/>
            <w:noWrap/>
            <w:vAlign w:val="center"/>
            <w:hideMark/>
          </w:tcPr>
          <w:p w:rsidR="00051959" w:rsidRPr="00F16B8D" w:rsidRDefault="00051959" w:rsidP="00F16B8D">
            <w:pPr>
              <w:widowControl/>
              <w:jc w:val="left"/>
              <w:rPr>
                <w:rFonts w:ascii="宋体" w:hAnsi="宋体" w:cs="宋体"/>
                <w:color w:val="000000"/>
                <w:kern w:val="0"/>
                <w:szCs w:val="21"/>
              </w:rPr>
            </w:pPr>
          </w:p>
        </w:tc>
        <w:tc>
          <w:tcPr>
            <w:tcW w:w="1116" w:type="dxa"/>
            <w:vMerge/>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p>
        </w:tc>
        <w:tc>
          <w:tcPr>
            <w:tcW w:w="1900" w:type="dxa"/>
            <w:shd w:val="clear" w:color="auto" w:fill="auto"/>
            <w:noWrap/>
            <w:vAlign w:val="center"/>
            <w:hideMark/>
          </w:tcPr>
          <w:p w:rsidR="00051959" w:rsidRPr="00F16B8D" w:rsidRDefault="00051959" w:rsidP="005721B0">
            <w:pPr>
              <w:widowControl/>
              <w:jc w:val="center"/>
              <w:rPr>
                <w:rFonts w:ascii="宋体" w:hAnsi="宋体" w:cs="宋体"/>
                <w:color w:val="000000"/>
                <w:kern w:val="0"/>
                <w:szCs w:val="21"/>
              </w:rPr>
            </w:pPr>
            <w:r w:rsidRPr="00F16B8D">
              <w:rPr>
                <w:rFonts w:ascii="宋体" w:hAnsi="宋体" w:cs="宋体" w:hint="eastAsia"/>
                <w:color w:val="000000"/>
                <w:kern w:val="0"/>
                <w:szCs w:val="21"/>
              </w:rPr>
              <w:t>解决破产问题</w:t>
            </w:r>
          </w:p>
        </w:tc>
        <w:tc>
          <w:tcPr>
            <w:tcW w:w="1559" w:type="dxa"/>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r w:rsidRPr="00F16B8D">
              <w:rPr>
                <w:rFonts w:ascii="宋体" w:hAnsi="宋体" w:cs="宋体" w:hint="eastAsia"/>
                <w:color w:val="000000"/>
                <w:kern w:val="0"/>
                <w:szCs w:val="21"/>
              </w:rPr>
              <w:t>无</w:t>
            </w:r>
          </w:p>
        </w:tc>
        <w:tc>
          <w:tcPr>
            <w:tcW w:w="2788" w:type="dxa"/>
            <w:shd w:val="clear" w:color="auto" w:fill="auto"/>
            <w:noWrap/>
            <w:vAlign w:val="center"/>
            <w:hideMark/>
          </w:tcPr>
          <w:p w:rsidR="00051959" w:rsidRPr="00F16B8D" w:rsidRDefault="00051959" w:rsidP="00F37084">
            <w:pPr>
              <w:widowControl/>
              <w:jc w:val="center"/>
              <w:rPr>
                <w:rFonts w:ascii="宋体" w:hAnsi="宋体" w:cs="宋体"/>
                <w:color w:val="000000"/>
                <w:kern w:val="0"/>
                <w:szCs w:val="21"/>
              </w:rPr>
            </w:pPr>
            <w:r w:rsidRPr="00F16B8D">
              <w:rPr>
                <w:rFonts w:ascii="宋体" w:hAnsi="宋体" w:cs="宋体" w:hint="eastAsia"/>
                <w:color w:val="000000"/>
                <w:kern w:val="0"/>
                <w:szCs w:val="21"/>
              </w:rPr>
              <w:t>世界银行营商环境报告</w:t>
            </w:r>
          </w:p>
        </w:tc>
      </w:tr>
    </w:tbl>
    <w:p w:rsidR="00051959" w:rsidRDefault="00051959"/>
    <w:p w:rsidR="00051959" w:rsidRDefault="00051959" w:rsidP="009B2504">
      <w:pPr>
        <w:ind w:firstLine="420"/>
        <w:rPr>
          <w:rFonts w:ascii="宋体" w:hAnsi="宋体"/>
          <w:sz w:val="24"/>
        </w:rPr>
      </w:pPr>
    </w:p>
    <w:p w:rsidR="00051959" w:rsidRPr="00A425C1" w:rsidRDefault="00051959" w:rsidP="004C3A46">
      <w:pPr>
        <w:ind w:firstLine="420"/>
        <w:rPr>
          <w:rFonts w:ascii="宋体" w:hAnsi="宋体"/>
          <w:szCs w:val="21"/>
        </w:rPr>
      </w:pPr>
      <w:r w:rsidRPr="00A425C1">
        <w:rPr>
          <w:rFonts w:ascii="宋体" w:hAnsi="宋体" w:hint="eastAsia"/>
          <w:szCs w:val="21"/>
        </w:rPr>
        <w:t>第一阶段输出变量包括空间经济联系度和贸易强度指数。空间经济联系度</w:t>
      </w:r>
      <w:r w:rsidRPr="00A425C1">
        <w:rPr>
          <w:rStyle w:val="a8"/>
          <w:rFonts w:ascii="宋体" w:hAnsi="宋体"/>
          <w:szCs w:val="21"/>
        </w:rPr>
        <w:footnoteReference w:id="12"/>
      </w:r>
      <w:r w:rsidRPr="00A425C1">
        <w:rPr>
          <w:rFonts w:ascii="宋体" w:hAnsi="宋体" w:hint="eastAsia"/>
          <w:szCs w:val="21"/>
        </w:rPr>
        <w:t>的计算方法如下：</w:t>
      </w:r>
      <m:oMath>
        <m:sSub>
          <m:sSubPr>
            <m:ctrlPr>
              <w:rPr>
                <w:rFonts w:ascii="Cambria Math" w:hAnsi="Cambria Math"/>
                <w:sz w:val="24"/>
              </w:rPr>
            </m:ctrlPr>
          </m:sSubPr>
          <m:e>
            <m:r>
              <m:rPr>
                <m:sty m:val="p"/>
              </m:rPr>
              <w:rPr>
                <w:rFonts w:ascii="Cambria Math" w:hAnsi="Cambria Math"/>
                <w:sz w:val="24"/>
              </w:rPr>
              <m:t>R</m:t>
            </m:r>
          </m:e>
          <m:sub>
            <m:r>
              <m:rPr>
                <m:sty m:val="p"/>
              </m:rPr>
              <w:rPr>
                <w:rFonts w:ascii="Cambria Math" w:hAnsi="Cambria Math"/>
                <w:sz w:val="24"/>
              </w:rPr>
              <m:t>ij</m:t>
            </m:r>
          </m:sub>
        </m:sSub>
        <m:r>
          <m:rPr>
            <m:sty m:val="p"/>
          </m:rPr>
          <w:rPr>
            <w:rFonts w:ascii="Cambria Math" w:hAnsi="Cambria Math"/>
            <w:sz w:val="24"/>
          </w:rPr>
          <m:t>=</m:t>
        </m:r>
        <m:f>
          <m:fPr>
            <m:type m:val="lin"/>
            <m:ctrlPr>
              <w:rPr>
                <w:rFonts w:ascii="Cambria Math" w:hAnsi="Cambria Math"/>
                <w:sz w:val="24"/>
              </w:rPr>
            </m:ctrlPr>
          </m:fPr>
          <m:num>
            <m:r>
              <m:rPr>
                <m:sty m:val="p"/>
              </m:rPr>
              <w:rPr>
                <w:rFonts w:ascii="Cambria Math" w:hAnsi="Cambria Math"/>
                <w:sz w:val="24"/>
              </w:rPr>
              <m:t>(</m:t>
            </m:r>
            <m:rad>
              <m:radPr>
                <m:degHide m:val="on"/>
                <m:ctrlPr>
                  <w:rPr>
                    <w:rFonts w:ascii="Cambria Math" w:hAnsi="Cambria Math"/>
                    <w:sz w:val="24"/>
                  </w:rPr>
                </m:ctrlPr>
              </m:radPr>
              <m:deg/>
              <m:e>
                <m:sSub>
                  <m:sSubPr>
                    <m:ctrlPr>
                      <w:rPr>
                        <w:rFonts w:ascii="Cambria Math" w:hAnsi="Cambria Math"/>
                        <w:sz w:val="24"/>
                      </w:rPr>
                    </m:ctrlPr>
                  </m:sSubPr>
                  <m:e>
                    <m:r>
                      <m:rPr>
                        <m:sty m:val="p"/>
                      </m:rPr>
                      <w:rPr>
                        <w:rFonts w:ascii="Cambria Math" w:hAnsi="Cambria Math"/>
                        <w:sz w:val="24"/>
                      </w:rPr>
                      <m:t>P</m:t>
                    </m:r>
                  </m:e>
                  <m:sub>
                    <m:r>
                      <m:rPr>
                        <m:sty m:val="p"/>
                      </m:rPr>
                      <w:rPr>
                        <w:rFonts w:ascii="Cambria Math" w:hAnsi="Cambria Math"/>
                        <w:sz w:val="24"/>
                      </w:rPr>
                      <m:t>i</m:t>
                    </m:r>
                  </m:sub>
                </m:sSub>
                <m:sSub>
                  <m:sSubPr>
                    <m:ctrlPr>
                      <w:rPr>
                        <w:rFonts w:ascii="Cambria Math" w:hAnsi="Cambria Math"/>
                        <w:sz w:val="24"/>
                      </w:rPr>
                    </m:ctrlPr>
                  </m:sSubPr>
                  <m:e>
                    <m:r>
                      <m:rPr>
                        <m:sty m:val="p"/>
                      </m:rPr>
                      <w:rPr>
                        <w:rFonts w:ascii="Cambria Math" w:hAnsi="Cambria Math"/>
                        <w:sz w:val="24"/>
                      </w:rPr>
                      <m:t>V</m:t>
                    </m:r>
                  </m:e>
                  <m:sub>
                    <m:r>
                      <m:rPr>
                        <m:sty m:val="p"/>
                      </m:rPr>
                      <w:rPr>
                        <w:rFonts w:ascii="Cambria Math" w:hAnsi="Cambria Math"/>
                        <w:sz w:val="24"/>
                      </w:rPr>
                      <m:t>i</m:t>
                    </m:r>
                  </m:sub>
                </m:sSub>
              </m:e>
            </m:rad>
            <m:r>
              <m:rPr>
                <m:sty m:val="p"/>
              </m:rPr>
              <w:rPr>
                <w:rFonts w:ascii="Cambria Math" w:hAnsi="Cambria Math"/>
                <w:sz w:val="24"/>
              </w:rPr>
              <m:t>×</m:t>
            </m:r>
            <m:rad>
              <m:radPr>
                <m:degHide m:val="on"/>
                <m:ctrlPr>
                  <w:rPr>
                    <w:rFonts w:ascii="Cambria Math" w:hAnsi="Cambria Math"/>
                    <w:sz w:val="24"/>
                  </w:rPr>
                </m:ctrlPr>
              </m:radPr>
              <m:deg/>
              <m:e>
                <m:sSub>
                  <m:sSubPr>
                    <m:ctrlPr>
                      <w:rPr>
                        <w:rFonts w:ascii="Cambria Math" w:hAnsi="Cambria Math"/>
                        <w:sz w:val="24"/>
                      </w:rPr>
                    </m:ctrlPr>
                  </m:sSubPr>
                  <m:e>
                    <m:r>
                      <m:rPr>
                        <m:sty m:val="p"/>
                      </m:rPr>
                      <w:rPr>
                        <w:rFonts w:ascii="Cambria Math" w:hAnsi="Cambria Math"/>
                        <w:sz w:val="24"/>
                      </w:rPr>
                      <m:t>P</m:t>
                    </m:r>
                  </m:e>
                  <m:sub>
                    <m:r>
                      <m:rPr>
                        <m:sty m:val="p"/>
                      </m:rPr>
                      <w:rPr>
                        <w:rFonts w:ascii="Cambria Math" w:hAnsi="Cambria Math"/>
                        <w:sz w:val="24"/>
                      </w:rPr>
                      <m:t>j</m:t>
                    </m:r>
                  </m:sub>
                </m:sSub>
                <m:sSub>
                  <m:sSubPr>
                    <m:ctrlPr>
                      <w:rPr>
                        <w:rFonts w:ascii="Cambria Math" w:hAnsi="Cambria Math"/>
                        <w:sz w:val="24"/>
                      </w:rPr>
                    </m:ctrlPr>
                  </m:sSubPr>
                  <m:e>
                    <m:r>
                      <m:rPr>
                        <m:sty m:val="p"/>
                      </m:rPr>
                      <w:rPr>
                        <w:rFonts w:ascii="Cambria Math" w:hAnsi="Cambria Math"/>
                        <w:sz w:val="24"/>
                      </w:rPr>
                      <m:t>V</m:t>
                    </m:r>
                  </m:e>
                  <m:sub>
                    <m:r>
                      <m:rPr>
                        <m:sty m:val="p"/>
                      </m:rPr>
                      <w:rPr>
                        <w:rFonts w:ascii="Cambria Math" w:hAnsi="Cambria Math"/>
                        <w:sz w:val="24"/>
                      </w:rPr>
                      <m:t>j</m:t>
                    </m:r>
                  </m:sub>
                </m:sSub>
              </m:e>
            </m:rad>
            <m:r>
              <m:rPr>
                <m:sty m:val="p"/>
              </m:rPr>
              <w:rPr>
                <w:rFonts w:ascii="Cambria Math" w:hAnsi="Cambria Math"/>
                <w:sz w:val="24"/>
              </w:rPr>
              <m:t>)</m:t>
            </m:r>
          </m:num>
          <m:den>
            <m:sSup>
              <m:sSupPr>
                <m:ctrlPr>
                  <w:rPr>
                    <w:rFonts w:ascii="Cambria Math" w:hAnsi="Cambria Math"/>
                    <w:sz w:val="24"/>
                  </w:rPr>
                </m:ctrlPr>
              </m:sSupPr>
              <m:e>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D</m:t>
                    </m:r>
                  </m:e>
                  <m:sub>
                    <m:r>
                      <m:rPr>
                        <m:sty m:val="p"/>
                      </m:rPr>
                      <w:rPr>
                        <w:rFonts w:ascii="Cambria Math" w:hAnsi="Cambria Math"/>
                        <w:sz w:val="24"/>
                      </w:rPr>
                      <m:t>ij</m:t>
                    </m:r>
                  </m:sub>
                </m:sSub>
                <m:r>
                  <m:rPr>
                    <m:sty m:val="p"/>
                  </m:rPr>
                  <w:rPr>
                    <w:rFonts w:ascii="Cambria Math" w:hAnsi="Cambria Math"/>
                    <w:sz w:val="24"/>
                  </w:rPr>
                  <m:t>)</m:t>
                </m:r>
              </m:e>
              <m:sup>
                <m:r>
                  <m:rPr>
                    <m:sty m:val="p"/>
                  </m:rPr>
                  <w:rPr>
                    <w:rFonts w:ascii="Cambria Math" w:hAnsi="Cambria Math"/>
                    <w:sz w:val="24"/>
                  </w:rPr>
                  <m:t>2</m:t>
                </m:r>
              </m:sup>
            </m:sSup>
          </m:den>
        </m:f>
      </m:oMath>
    </w:p>
    <w:p w:rsidR="00051959" w:rsidRPr="00A425C1" w:rsidRDefault="00051959" w:rsidP="004C3A46">
      <w:pPr>
        <w:ind w:firstLine="420"/>
        <w:rPr>
          <w:rFonts w:ascii="宋体" w:hAnsi="宋体"/>
          <w:szCs w:val="21"/>
        </w:rPr>
      </w:pPr>
      <w:r w:rsidRPr="00A425C1">
        <w:rPr>
          <w:rFonts w:ascii="宋体" w:hAnsi="宋体" w:hint="eastAsia"/>
          <w:szCs w:val="21"/>
        </w:rPr>
        <w:t>其中，</w:t>
      </w:r>
      <m:oMath>
        <m:sSub>
          <m:sSubPr>
            <m:ctrlPr>
              <w:rPr>
                <w:rFonts w:ascii="Cambria Math" w:hAnsi="Cambria Math"/>
                <w:sz w:val="24"/>
              </w:rPr>
            </m:ctrlPr>
          </m:sSubPr>
          <m:e>
            <m:r>
              <m:rPr>
                <m:sty m:val="p"/>
              </m:rPr>
              <w:rPr>
                <w:rFonts w:ascii="Cambria Math" w:hAnsi="Cambria Math"/>
                <w:sz w:val="24"/>
              </w:rPr>
              <m:t>R</m:t>
            </m:r>
          </m:e>
          <m:sub>
            <m:r>
              <m:rPr>
                <m:sty m:val="p"/>
              </m:rPr>
              <w:rPr>
                <w:rFonts w:ascii="Cambria Math" w:hAnsi="Cambria Math"/>
                <w:sz w:val="24"/>
              </w:rPr>
              <m:t>ij</m:t>
            </m:r>
          </m:sub>
        </m:sSub>
      </m:oMath>
      <w:r w:rsidRPr="00A425C1">
        <w:rPr>
          <w:rFonts w:ascii="宋体" w:hAnsi="宋体" w:hint="eastAsia"/>
          <w:szCs w:val="21"/>
        </w:rPr>
        <w:t>表示</w:t>
      </w:r>
      <w:proofErr w:type="spellStart"/>
      <w:r w:rsidRPr="00A425C1">
        <w:rPr>
          <w:rFonts w:ascii="宋体" w:hAnsi="宋体" w:hint="eastAsia"/>
          <w:szCs w:val="21"/>
        </w:rPr>
        <w:t>i</w:t>
      </w:r>
      <w:proofErr w:type="spellEnd"/>
      <w:r w:rsidRPr="00A425C1">
        <w:rPr>
          <w:rFonts w:ascii="宋体" w:hAnsi="宋体" w:hint="eastAsia"/>
          <w:szCs w:val="21"/>
        </w:rPr>
        <w:t>国与j国的经济联系度，</w:t>
      </w:r>
      <m:oMath>
        <m:sSub>
          <m:sSubPr>
            <m:ctrlPr>
              <w:rPr>
                <w:rFonts w:ascii="Cambria Math" w:hAnsi="Cambria Math"/>
                <w:sz w:val="24"/>
              </w:rPr>
            </m:ctrlPr>
          </m:sSubPr>
          <m:e>
            <m:r>
              <m:rPr>
                <m:sty m:val="p"/>
              </m:rPr>
              <w:rPr>
                <w:rFonts w:ascii="Cambria Math" w:hAnsi="Cambria Math"/>
                <w:sz w:val="24"/>
              </w:rPr>
              <m:t>P</m:t>
            </m:r>
          </m:e>
          <m:sub>
            <m:r>
              <m:rPr>
                <m:sty m:val="p"/>
              </m:rPr>
              <w:rPr>
                <w:rFonts w:ascii="Cambria Math" w:hAnsi="Cambria Math"/>
                <w:sz w:val="24"/>
              </w:rPr>
              <m:t>i</m:t>
            </m:r>
          </m:sub>
        </m:sSub>
      </m:oMath>
      <w:r w:rsidRPr="00A425C1">
        <w:rPr>
          <w:rFonts w:ascii="宋体" w:hAnsi="宋体" w:hint="eastAsia"/>
          <w:szCs w:val="21"/>
        </w:rPr>
        <w:t>和</w:t>
      </w:r>
      <m:oMath>
        <m:sSub>
          <m:sSubPr>
            <m:ctrlPr>
              <w:rPr>
                <w:rFonts w:ascii="Cambria Math" w:hAnsi="Cambria Math"/>
                <w:sz w:val="24"/>
              </w:rPr>
            </m:ctrlPr>
          </m:sSubPr>
          <m:e>
            <m:r>
              <m:rPr>
                <m:sty m:val="p"/>
              </m:rPr>
              <w:rPr>
                <w:rFonts w:ascii="Cambria Math" w:hAnsi="Cambria Math"/>
                <w:sz w:val="24"/>
              </w:rPr>
              <m:t>P</m:t>
            </m:r>
          </m:e>
          <m:sub>
            <m:r>
              <m:rPr>
                <m:sty m:val="p"/>
              </m:rPr>
              <w:rPr>
                <w:rFonts w:ascii="Cambria Math" w:hAnsi="Cambria Math"/>
                <w:sz w:val="24"/>
              </w:rPr>
              <m:t>j</m:t>
            </m:r>
          </m:sub>
        </m:sSub>
      </m:oMath>
      <w:r w:rsidRPr="00A425C1">
        <w:rPr>
          <w:rFonts w:ascii="宋体" w:hAnsi="宋体" w:hint="eastAsia"/>
          <w:szCs w:val="21"/>
        </w:rPr>
        <w:t>分别表示</w:t>
      </w:r>
      <w:proofErr w:type="spellStart"/>
      <w:r w:rsidRPr="00A425C1">
        <w:rPr>
          <w:rFonts w:ascii="宋体" w:hAnsi="宋体" w:hint="eastAsia"/>
          <w:szCs w:val="21"/>
        </w:rPr>
        <w:t>i</w:t>
      </w:r>
      <w:proofErr w:type="spellEnd"/>
      <w:r w:rsidRPr="00A425C1">
        <w:rPr>
          <w:rFonts w:ascii="宋体" w:hAnsi="宋体" w:hint="eastAsia"/>
          <w:szCs w:val="21"/>
        </w:rPr>
        <w:t>国和j国的总人口，</w:t>
      </w:r>
      <m:oMath>
        <m:sSub>
          <m:sSubPr>
            <m:ctrlPr>
              <w:rPr>
                <w:rFonts w:ascii="Cambria Math" w:hAnsi="Cambria Math"/>
                <w:sz w:val="24"/>
              </w:rPr>
            </m:ctrlPr>
          </m:sSubPr>
          <m:e>
            <m:r>
              <m:rPr>
                <m:sty m:val="p"/>
              </m:rPr>
              <w:rPr>
                <w:rFonts w:ascii="Cambria Math" w:hAnsi="Cambria Math"/>
                <w:sz w:val="24"/>
              </w:rPr>
              <m:t>V</m:t>
            </m:r>
          </m:e>
          <m:sub>
            <m:r>
              <m:rPr>
                <m:sty m:val="p"/>
              </m:rPr>
              <w:rPr>
                <w:rFonts w:ascii="Cambria Math" w:hAnsi="Cambria Math"/>
                <w:sz w:val="24"/>
              </w:rPr>
              <m:t>i</m:t>
            </m:r>
          </m:sub>
        </m:sSub>
      </m:oMath>
      <w:r w:rsidRPr="00A425C1">
        <w:rPr>
          <w:rFonts w:ascii="宋体" w:hAnsi="宋体" w:hint="eastAsia"/>
          <w:szCs w:val="21"/>
        </w:rPr>
        <w:t>和</w:t>
      </w:r>
      <m:oMath>
        <m:sSub>
          <m:sSubPr>
            <m:ctrlPr>
              <w:rPr>
                <w:rFonts w:ascii="Cambria Math" w:hAnsi="Cambria Math"/>
                <w:sz w:val="24"/>
              </w:rPr>
            </m:ctrlPr>
          </m:sSubPr>
          <m:e>
            <m:r>
              <m:rPr>
                <m:sty m:val="p"/>
              </m:rPr>
              <w:rPr>
                <w:rFonts w:ascii="Cambria Math" w:hAnsi="Cambria Math"/>
                <w:sz w:val="24"/>
              </w:rPr>
              <m:t>V</m:t>
            </m:r>
          </m:e>
          <m:sub>
            <m:r>
              <m:rPr>
                <m:sty m:val="p"/>
              </m:rPr>
              <w:rPr>
                <w:rFonts w:ascii="Cambria Math" w:hAnsi="Cambria Math"/>
                <w:sz w:val="24"/>
              </w:rPr>
              <m:t>j</m:t>
            </m:r>
          </m:sub>
        </m:sSub>
      </m:oMath>
      <w:r w:rsidRPr="00A425C1">
        <w:rPr>
          <w:rFonts w:ascii="宋体" w:hAnsi="宋体" w:hint="eastAsia"/>
          <w:szCs w:val="21"/>
        </w:rPr>
        <w:t>分别表示</w:t>
      </w:r>
      <w:proofErr w:type="spellStart"/>
      <w:r w:rsidRPr="00A425C1">
        <w:rPr>
          <w:rFonts w:ascii="宋体" w:hAnsi="宋体" w:hint="eastAsia"/>
          <w:szCs w:val="21"/>
        </w:rPr>
        <w:t>i</w:t>
      </w:r>
      <w:proofErr w:type="spellEnd"/>
      <w:r w:rsidRPr="00A425C1">
        <w:rPr>
          <w:rFonts w:ascii="宋体" w:hAnsi="宋体" w:hint="eastAsia"/>
          <w:szCs w:val="21"/>
        </w:rPr>
        <w:t>国和j国的GDP，</w:t>
      </w:r>
      <m:oMath>
        <m:sSub>
          <m:sSubPr>
            <m:ctrlPr>
              <w:rPr>
                <w:rFonts w:ascii="Cambria Math" w:hAnsi="Cambria Math"/>
                <w:sz w:val="24"/>
              </w:rPr>
            </m:ctrlPr>
          </m:sSubPr>
          <m:e>
            <m:r>
              <m:rPr>
                <m:sty m:val="p"/>
              </m:rPr>
              <w:rPr>
                <w:rFonts w:ascii="Cambria Math" w:hAnsi="Cambria Math"/>
                <w:sz w:val="24"/>
              </w:rPr>
              <m:t>D</m:t>
            </m:r>
          </m:e>
          <m:sub>
            <m:r>
              <m:rPr>
                <m:sty m:val="p"/>
              </m:rPr>
              <w:rPr>
                <w:rFonts w:ascii="Cambria Math" w:hAnsi="Cambria Math"/>
                <w:sz w:val="24"/>
              </w:rPr>
              <m:t>ij</m:t>
            </m:r>
          </m:sub>
        </m:sSub>
      </m:oMath>
      <w:r w:rsidRPr="00A425C1">
        <w:rPr>
          <w:rFonts w:ascii="宋体" w:hAnsi="宋体" w:hint="eastAsia"/>
          <w:szCs w:val="21"/>
        </w:rPr>
        <w:t>表示</w:t>
      </w:r>
      <w:proofErr w:type="spellStart"/>
      <w:r w:rsidRPr="00A425C1">
        <w:rPr>
          <w:rFonts w:ascii="宋体" w:hAnsi="宋体" w:hint="eastAsia"/>
          <w:szCs w:val="21"/>
        </w:rPr>
        <w:t>i</w:t>
      </w:r>
      <w:proofErr w:type="spellEnd"/>
      <w:r w:rsidRPr="00A425C1">
        <w:rPr>
          <w:rFonts w:ascii="宋体" w:hAnsi="宋体" w:hint="eastAsia"/>
          <w:szCs w:val="21"/>
        </w:rPr>
        <w:t>国与j国的空间距离，本文用两国首都之间的直线距离代替。上述人口和GDP数据来源于世界银行，两国首都之间的距离用WinGlobeV2.1软件进行测度。</w:t>
      </w:r>
    </w:p>
    <w:p w:rsidR="00051959" w:rsidRPr="00A425C1" w:rsidRDefault="00051959" w:rsidP="004C3A46">
      <w:pPr>
        <w:ind w:firstLine="420"/>
        <w:rPr>
          <w:rFonts w:ascii="宋体" w:hAnsi="宋体"/>
          <w:szCs w:val="21"/>
        </w:rPr>
      </w:pPr>
      <w:r w:rsidRPr="00A425C1">
        <w:rPr>
          <w:rFonts w:ascii="宋体" w:hAnsi="宋体" w:hint="eastAsia"/>
          <w:szCs w:val="21"/>
        </w:rPr>
        <w:t>贸易强度指数的计算通过出口贸易强度指数和进口贸易强度指数的两者平均得到，即</w:t>
      </w:r>
      <m:oMath>
        <m:r>
          <m:rPr>
            <m:sty m:val="p"/>
          </m:rPr>
          <w:rPr>
            <w:rFonts w:ascii="Cambria Math" w:hAnsi="Cambria Math"/>
            <w:sz w:val="24"/>
          </w:rPr>
          <m:t>TII=</m:t>
        </m:r>
        <m:f>
          <m:fPr>
            <m:type m:val="lin"/>
            <m:ctrlPr>
              <w:rPr>
                <w:rFonts w:ascii="Cambria Math" w:hAnsi="Cambria Math"/>
                <w:sz w:val="24"/>
              </w:rPr>
            </m:ctrlPr>
          </m:fPr>
          <m:num>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TII</m:t>
                </m:r>
              </m:e>
              <m:sub>
                <m:r>
                  <m:rPr>
                    <m:sty m:val="p"/>
                  </m:rPr>
                  <w:rPr>
                    <w:rFonts w:ascii="Cambria Math" w:hAnsi="Cambria Math"/>
                    <w:sz w:val="24"/>
                  </w:rPr>
                  <m:t>X</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TII</m:t>
                </m:r>
              </m:e>
              <m:sub>
                <m:r>
                  <m:rPr>
                    <m:sty m:val="p"/>
                  </m:rPr>
                  <w:rPr>
                    <w:rFonts w:ascii="Cambria Math" w:hAnsi="Cambria Math"/>
                    <w:sz w:val="24"/>
                  </w:rPr>
                  <m:t>M</m:t>
                </m:r>
              </m:sub>
            </m:sSub>
            <m:r>
              <m:rPr>
                <m:sty m:val="p"/>
              </m:rPr>
              <w:rPr>
                <w:rFonts w:ascii="Cambria Math" w:hAnsi="Cambria Math"/>
                <w:sz w:val="24"/>
              </w:rPr>
              <m:t>）</m:t>
            </m:r>
          </m:num>
          <m:den>
            <m:r>
              <m:rPr>
                <m:sty m:val="p"/>
              </m:rPr>
              <w:rPr>
                <w:rFonts w:ascii="Cambria Math" w:hAnsi="Cambria Math"/>
                <w:sz w:val="24"/>
              </w:rPr>
              <m:t>2</m:t>
            </m:r>
          </m:den>
        </m:f>
      </m:oMath>
      <w:r w:rsidRPr="00A425C1">
        <w:rPr>
          <w:rFonts w:ascii="宋体" w:hAnsi="宋体" w:hint="eastAsia"/>
          <w:szCs w:val="21"/>
        </w:rPr>
        <w:t>。出口贸易强度指数的计算公式为：</w:t>
      </w:r>
    </w:p>
    <w:p w:rsidR="00051959" w:rsidRPr="00A425C1" w:rsidRDefault="00051959" w:rsidP="004C3A46">
      <w:pPr>
        <w:ind w:firstLine="420"/>
        <w:rPr>
          <w:rFonts w:ascii="宋体" w:hAnsi="宋体"/>
          <w:szCs w:val="21"/>
        </w:rPr>
      </w:pPr>
      <m:oMathPara>
        <m:oMath>
          <m:sSub>
            <m:sSubPr>
              <m:ctrlPr>
                <w:rPr>
                  <w:rFonts w:ascii="Cambria Math" w:hAnsi="Cambria Math"/>
                  <w:sz w:val="24"/>
                </w:rPr>
              </m:ctrlPr>
            </m:sSubPr>
            <m:e>
              <m:r>
                <m:rPr>
                  <m:sty m:val="p"/>
                </m:rPr>
                <w:rPr>
                  <w:rFonts w:ascii="Cambria Math" w:hAnsi="Cambria Math"/>
                  <w:sz w:val="24"/>
                </w:rPr>
                <m:t>TII</m:t>
              </m:r>
            </m:e>
            <m:sub>
              <m:r>
                <m:rPr>
                  <m:sty m:val="p"/>
                </m:rPr>
                <w:rPr>
                  <w:rFonts w:ascii="Cambria Math" w:hAnsi="Cambria Math"/>
                  <w:sz w:val="24"/>
                </w:rPr>
                <m:t>X</m:t>
              </m:r>
            </m:sub>
          </m:sSub>
          <m:r>
            <m:rPr>
              <m:sty m:val="p"/>
            </m:rPr>
            <w:rPr>
              <w:rFonts w:ascii="Cambria Math" w:hAnsi="Cambria Math"/>
              <w:sz w:val="24"/>
            </w:rPr>
            <m:t>=</m:t>
          </m:r>
          <m:f>
            <m:fPr>
              <m:ctrlPr>
                <w:rPr>
                  <w:rFonts w:ascii="Cambria Math" w:hAnsi="Cambria Math"/>
                  <w:sz w:val="24"/>
                </w:rPr>
              </m:ctrlPr>
            </m:fPr>
            <m:num>
              <m:f>
                <m:fPr>
                  <m:type m:val="lin"/>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X</m:t>
                      </m:r>
                    </m:e>
                    <m:sub>
                      <m:r>
                        <m:rPr>
                          <m:sty m:val="p"/>
                        </m:rPr>
                        <w:rPr>
                          <w:rFonts w:ascii="Cambria Math" w:hAnsi="Cambria Math"/>
                          <w:sz w:val="24"/>
                        </w:rPr>
                        <m:t>ij</m:t>
                      </m:r>
                    </m:sub>
                  </m:sSub>
                </m:num>
                <m:den>
                  <m:sSub>
                    <m:sSubPr>
                      <m:ctrlPr>
                        <w:rPr>
                          <w:rFonts w:ascii="Cambria Math" w:hAnsi="Cambria Math"/>
                          <w:sz w:val="24"/>
                        </w:rPr>
                      </m:ctrlPr>
                    </m:sSubPr>
                    <m:e>
                      <m:r>
                        <m:rPr>
                          <m:sty m:val="p"/>
                        </m:rPr>
                        <w:rPr>
                          <w:rFonts w:ascii="Cambria Math" w:hAnsi="Cambria Math"/>
                          <w:sz w:val="24"/>
                        </w:rPr>
                        <m:t>X</m:t>
                      </m:r>
                    </m:e>
                    <m:sub>
                      <m:r>
                        <m:rPr>
                          <m:sty m:val="p"/>
                        </m:rPr>
                        <w:rPr>
                          <w:rFonts w:ascii="Cambria Math" w:hAnsi="Cambria Math"/>
                          <w:sz w:val="24"/>
                        </w:rPr>
                        <m:t>i</m:t>
                      </m:r>
                    </m:sub>
                  </m:sSub>
                </m:den>
              </m:f>
            </m:num>
            <m:den>
              <m:f>
                <m:fPr>
                  <m:type m:val="lin"/>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M</m:t>
                      </m:r>
                    </m:e>
                    <m:sub>
                      <m:r>
                        <m:rPr>
                          <m:sty m:val="p"/>
                        </m:rPr>
                        <w:rPr>
                          <w:rFonts w:ascii="Cambria Math" w:hAnsi="Cambria Math"/>
                          <w:sz w:val="24"/>
                        </w:rPr>
                        <m:t>j</m:t>
                      </m:r>
                    </m:sub>
                  </m:sSub>
                </m:num>
                <m:den>
                  <m:sSub>
                    <m:sSubPr>
                      <m:ctrlPr>
                        <w:rPr>
                          <w:rFonts w:ascii="Cambria Math" w:hAnsi="Cambria Math"/>
                          <w:sz w:val="24"/>
                        </w:rPr>
                      </m:ctrlPr>
                    </m:sSubPr>
                    <m:e>
                      <m:r>
                        <m:rPr>
                          <m:sty m:val="p"/>
                        </m:rPr>
                        <w:rPr>
                          <w:rFonts w:ascii="Cambria Math" w:hAnsi="Cambria Math"/>
                          <w:sz w:val="24"/>
                        </w:rPr>
                        <m:t>(M</m:t>
                      </m:r>
                    </m:e>
                    <m:sub>
                      <m:r>
                        <m:rPr>
                          <m:sty m:val="p"/>
                        </m:rPr>
                        <w:rPr>
                          <w:rFonts w:ascii="Cambria Math" w:hAnsi="Cambria Math"/>
                          <w:sz w:val="24"/>
                        </w:rPr>
                        <m:t>w</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M</m:t>
                      </m:r>
                    </m:e>
                    <m:sub>
                      <m:r>
                        <m:rPr>
                          <m:sty m:val="p"/>
                        </m:rPr>
                        <w:rPr>
                          <w:rFonts w:ascii="Cambria Math" w:hAnsi="Cambria Math"/>
                          <w:sz w:val="24"/>
                        </w:rPr>
                        <m:t>i</m:t>
                      </m:r>
                    </m:sub>
                  </m:sSub>
                  <m:r>
                    <m:rPr>
                      <m:sty m:val="p"/>
                    </m:rPr>
                    <w:rPr>
                      <w:rFonts w:ascii="Cambria Math" w:hAnsi="Cambria Math"/>
                      <w:sz w:val="24"/>
                    </w:rPr>
                    <m:t>)</m:t>
                  </m:r>
                </m:den>
              </m:f>
            </m:den>
          </m:f>
        </m:oMath>
      </m:oMathPara>
    </w:p>
    <w:p w:rsidR="00051959" w:rsidRPr="00A425C1" w:rsidRDefault="00051959" w:rsidP="004C3A46">
      <w:pPr>
        <w:ind w:firstLine="420"/>
        <w:rPr>
          <w:rFonts w:ascii="宋体" w:hAnsi="宋体"/>
          <w:szCs w:val="21"/>
        </w:rPr>
      </w:pPr>
      <w:r w:rsidRPr="00A425C1">
        <w:rPr>
          <w:rFonts w:ascii="宋体" w:hAnsi="宋体" w:hint="eastAsia"/>
          <w:szCs w:val="21"/>
        </w:rPr>
        <w:t>其中，</w:t>
      </w:r>
      <m:oMath>
        <m:sSub>
          <m:sSubPr>
            <m:ctrlPr>
              <w:rPr>
                <w:rFonts w:ascii="Cambria Math" w:hAnsi="Cambria Math"/>
                <w:sz w:val="24"/>
              </w:rPr>
            </m:ctrlPr>
          </m:sSubPr>
          <m:e>
            <m:r>
              <m:rPr>
                <m:sty m:val="p"/>
              </m:rPr>
              <w:rPr>
                <w:rFonts w:ascii="Cambria Math" w:hAnsi="Cambria Math"/>
                <w:sz w:val="24"/>
              </w:rPr>
              <m:t>TII</m:t>
            </m:r>
          </m:e>
          <m:sub>
            <m:r>
              <m:rPr>
                <m:sty m:val="p"/>
              </m:rPr>
              <w:rPr>
                <w:rFonts w:ascii="Cambria Math" w:hAnsi="Cambria Math"/>
                <w:sz w:val="24"/>
              </w:rPr>
              <m:t>X</m:t>
            </m:r>
          </m:sub>
        </m:sSub>
      </m:oMath>
      <w:r w:rsidRPr="00A425C1">
        <w:rPr>
          <w:rFonts w:ascii="宋体" w:hAnsi="宋体" w:hint="eastAsia"/>
          <w:szCs w:val="21"/>
        </w:rPr>
        <w:t>表示出口贸易强度，</w:t>
      </w:r>
      <m:oMath>
        <m:sSub>
          <m:sSubPr>
            <m:ctrlPr>
              <w:rPr>
                <w:rFonts w:ascii="Cambria Math" w:hAnsi="Cambria Math"/>
                <w:sz w:val="24"/>
              </w:rPr>
            </m:ctrlPr>
          </m:sSubPr>
          <m:e>
            <m:r>
              <m:rPr>
                <m:sty m:val="p"/>
              </m:rPr>
              <w:rPr>
                <w:rFonts w:ascii="Cambria Math" w:hAnsi="Cambria Math"/>
                <w:sz w:val="24"/>
              </w:rPr>
              <m:t>X</m:t>
            </m:r>
          </m:e>
          <m:sub>
            <m:r>
              <m:rPr>
                <m:sty m:val="p"/>
              </m:rPr>
              <w:rPr>
                <w:rFonts w:ascii="Cambria Math" w:hAnsi="Cambria Math"/>
                <w:sz w:val="24"/>
              </w:rPr>
              <m:t>ij</m:t>
            </m:r>
          </m:sub>
        </m:sSub>
      </m:oMath>
      <w:r w:rsidRPr="00A425C1">
        <w:rPr>
          <w:rFonts w:ascii="宋体" w:hAnsi="宋体" w:hint="eastAsia"/>
          <w:szCs w:val="21"/>
        </w:rPr>
        <w:t>表示</w:t>
      </w:r>
      <w:proofErr w:type="spellStart"/>
      <w:r w:rsidRPr="00A425C1">
        <w:rPr>
          <w:rFonts w:ascii="宋体" w:hAnsi="宋体" w:hint="eastAsia"/>
          <w:szCs w:val="21"/>
        </w:rPr>
        <w:t>i</w:t>
      </w:r>
      <w:proofErr w:type="spellEnd"/>
      <w:r w:rsidRPr="00A425C1">
        <w:rPr>
          <w:rFonts w:ascii="宋体" w:hAnsi="宋体" w:hint="eastAsia"/>
          <w:szCs w:val="21"/>
        </w:rPr>
        <w:t>国对j国出口，</w:t>
      </w:r>
      <m:oMath>
        <m:sSub>
          <m:sSubPr>
            <m:ctrlPr>
              <w:rPr>
                <w:rFonts w:ascii="Cambria Math" w:hAnsi="Cambria Math"/>
                <w:sz w:val="24"/>
              </w:rPr>
            </m:ctrlPr>
          </m:sSubPr>
          <m:e>
            <m:r>
              <m:rPr>
                <m:sty m:val="p"/>
              </m:rPr>
              <w:rPr>
                <w:rFonts w:ascii="Cambria Math" w:hAnsi="Cambria Math"/>
                <w:sz w:val="24"/>
              </w:rPr>
              <m:t>X</m:t>
            </m:r>
          </m:e>
          <m:sub>
            <m:r>
              <m:rPr>
                <m:sty m:val="p"/>
              </m:rPr>
              <w:rPr>
                <w:rFonts w:ascii="Cambria Math" w:hAnsi="Cambria Math"/>
                <w:sz w:val="24"/>
              </w:rPr>
              <m:t>i</m:t>
            </m:r>
          </m:sub>
        </m:sSub>
      </m:oMath>
      <w:r w:rsidRPr="00A425C1">
        <w:rPr>
          <w:rFonts w:ascii="宋体" w:hAnsi="宋体" w:hint="eastAsia"/>
          <w:szCs w:val="21"/>
        </w:rPr>
        <w:t>表示</w:t>
      </w:r>
      <w:proofErr w:type="spellStart"/>
      <w:r w:rsidRPr="00A425C1">
        <w:rPr>
          <w:rFonts w:ascii="宋体" w:hAnsi="宋体" w:hint="eastAsia"/>
          <w:szCs w:val="21"/>
        </w:rPr>
        <w:t>i</w:t>
      </w:r>
      <w:proofErr w:type="spellEnd"/>
      <w:r w:rsidRPr="00A425C1">
        <w:rPr>
          <w:rFonts w:ascii="宋体" w:hAnsi="宋体" w:hint="eastAsia"/>
          <w:szCs w:val="21"/>
        </w:rPr>
        <w:t>国总的出口；</w:t>
      </w:r>
      <m:oMath>
        <m:sSub>
          <m:sSubPr>
            <m:ctrlPr>
              <w:rPr>
                <w:rFonts w:ascii="Cambria Math" w:hAnsi="Cambria Math"/>
                <w:sz w:val="24"/>
              </w:rPr>
            </m:ctrlPr>
          </m:sSubPr>
          <m:e>
            <m:r>
              <m:rPr>
                <m:sty m:val="p"/>
              </m:rPr>
              <w:rPr>
                <w:rFonts w:ascii="Cambria Math" w:hAnsi="Cambria Math"/>
                <w:sz w:val="24"/>
              </w:rPr>
              <m:t>M</m:t>
            </m:r>
          </m:e>
          <m:sub>
            <m:r>
              <m:rPr>
                <m:sty m:val="p"/>
              </m:rPr>
              <w:rPr>
                <w:rFonts w:ascii="Cambria Math" w:hAnsi="Cambria Math"/>
                <w:sz w:val="24"/>
              </w:rPr>
              <m:t>j</m:t>
            </m:r>
          </m:sub>
        </m:sSub>
      </m:oMath>
      <w:r w:rsidRPr="00A425C1">
        <w:rPr>
          <w:rFonts w:ascii="宋体" w:hAnsi="宋体" w:hint="eastAsia"/>
          <w:szCs w:val="21"/>
        </w:rPr>
        <w:t>表示j国进口，</w:t>
      </w:r>
      <m:oMath>
        <m:sSub>
          <m:sSubPr>
            <m:ctrlPr>
              <w:rPr>
                <w:rFonts w:ascii="Cambria Math" w:hAnsi="Cambria Math"/>
                <w:sz w:val="24"/>
              </w:rPr>
            </m:ctrlPr>
          </m:sSubPr>
          <m:e>
            <m:r>
              <m:rPr>
                <m:sty m:val="p"/>
              </m:rPr>
              <w:rPr>
                <w:rFonts w:ascii="Cambria Math" w:hAnsi="Cambria Math"/>
                <w:sz w:val="24"/>
              </w:rPr>
              <m:t>M</m:t>
            </m:r>
          </m:e>
          <m:sub>
            <m:r>
              <m:rPr>
                <m:sty m:val="p"/>
              </m:rPr>
              <w:rPr>
                <w:rFonts w:ascii="Cambria Math" w:hAnsi="Cambria Math"/>
                <w:sz w:val="24"/>
              </w:rPr>
              <m:t>w</m:t>
            </m:r>
          </m:sub>
        </m:sSub>
      </m:oMath>
      <w:r w:rsidRPr="00A425C1">
        <w:rPr>
          <w:rFonts w:ascii="宋体" w:hAnsi="宋体" w:hint="eastAsia"/>
          <w:szCs w:val="21"/>
        </w:rPr>
        <w:t>表示世界总进口，</w:t>
      </w:r>
      <m:oMath>
        <m:sSub>
          <m:sSubPr>
            <m:ctrlPr>
              <w:rPr>
                <w:rFonts w:ascii="Cambria Math" w:hAnsi="Cambria Math"/>
                <w:sz w:val="24"/>
              </w:rPr>
            </m:ctrlPr>
          </m:sSubPr>
          <m:e>
            <m:r>
              <m:rPr>
                <m:sty m:val="p"/>
              </m:rPr>
              <w:rPr>
                <w:rFonts w:ascii="Cambria Math" w:hAnsi="Cambria Math"/>
                <w:sz w:val="24"/>
              </w:rPr>
              <m:t>M</m:t>
            </m:r>
          </m:e>
          <m:sub>
            <m:r>
              <m:rPr>
                <m:sty m:val="p"/>
              </m:rPr>
              <w:rPr>
                <w:rFonts w:ascii="Cambria Math" w:hAnsi="Cambria Math"/>
                <w:sz w:val="24"/>
              </w:rPr>
              <m:t>i</m:t>
            </m:r>
          </m:sub>
        </m:sSub>
      </m:oMath>
      <w:r w:rsidRPr="00A425C1">
        <w:rPr>
          <w:rFonts w:ascii="宋体" w:hAnsi="宋体" w:hint="eastAsia"/>
          <w:szCs w:val="21"/>
        </w:rPr>
        <w:t>表示</w:t>
      </w:r>
      <w:proofErr w:type="spellStart"/>
      <w:r w:rsidRPr="00A425C1">
        <w:rPr>
          <w:rFonts w:ascii="宋体" w:hAnsi="宋体" w:hint="eastAsia"/>
          <w:szCs w:val="21"/>
        </w:rPr>
        <w:t>i</w:t>
      </w:r>
      <w:proofErr w:type="spellEnd"/>
      <w:r w:rsidRPr="00A425C1">
        <w:rPr>
          <w:rFonts w:ascii="宋体" w:hAnsi="宋体" w:hint="eastAsia"/>
          <w:szCs w:val="21"/>
        </w:rPr>
        <w:t>国进口。出口贸易强度指数的含义是：</w:t>
      </w:r>
      <w:proofErr w:type="spellStart"/>
      <w:r w:rsidRPr="00A425C1">
        <w:rPr>
          <w:rFonts w:ascii="宋体" w:hAnsi="宋体" w:hint="eastAsia"/>
          <w:szCs w:val="21"/>
        </w:rPr>
        <w:t>i</w:t>
      </w:r>
      <w:proofErr w:type="spellEnd"/>
      <w:r w:rsidRPr="00A425C1">
        <w:rPr>
          <w:rFonts w:ascii="宋体" w:hAnsi="宋体" w:hint="eastAsia"/>
          <w:szCs w:val="21"/>
        </w:rPr>
        <w:t>国对j国的出口占</w:t>
      </w:r>
      <w:proofErr w:type="spellStart"/>
      <w:r w:rsidRPr="00A425C1">
        <w:rPr>
          <w:rFonts w:ascii="宋体" w:hAnsi="宋体" w:hint="eastAsia"/>
          <w:szCs w:val="21"/>
        </w:rPr>
        <w:t>i</w:t>
      </w:r>
      <w:proofErr w:type="spellEnd"/>
      <w:r w:rsidRPr="00A425C1">
        <w:rPr>
          <w:rFonts w:ascii="宋体" w:hAnsi="宋体" w:hint="eastAsia"/>
          <w:szCs w:val="21"/>
        </w:rPr>
        <w:t>国总出口的份额与j国占除</w:t>
      </w:r>
      <w:proofErr w:type="spellStart"/>
      <w:r w:rsidRPr="00A425C1">
        <w:rPr>
          <w:rFonts w:ascii="宋体" w:hAnsi="宋体" w:hint="eastAsia"/>
          <w:szCs w:val="21"/>
        </w:rPr>
        <w:t>i</w:t>
      </w:r>
      <w:proofErr w:type="spellEnd"/>
      <w:r w:rsidRPr="00A425C1">
        <w:rPr>
          <w:rFonts w:ascii="宋体" w:hAnsi="宋体" w:hint="eastAsia"/>
          <w:szCs w:val="21"/>
        </w:rPr>
        <w:t>国之外的世界总进口的份额比值。</w:t>
      </w:r>
    </w:p>
    <w:p w:rsidR="00051959" w:rsidRPr="00A425C1" w:rsidRDefault="00051959" w:rsidP="004C3A46">
      <w:pPr>
        <w:ind w:firstLine="420"/>
        <w:rPr>
          <w:rFonts w:ascii="宋体" w:hAnsi="宋体"/>
          <w:szCs w:val="21"/>
        </w:rPr>
      </w:pPr>
      <w:r w:rsidRPr="00A425C1">
        <w:rPr>
          <w:rFonts w:ascii="宋体" w:hAnsi="宋体" w:hint="eastAsia"/>
          <w:szCs w:val="21"/>
        </w:rPr>
        <w:t>进口贸易强度指数的计算公式为：</w:t>
      </w:r>
    </w:p>
    <w:p w:rsidR="00051959" w:rsidRPr="00A425C1" w:rsidRDefault="00051959" w:rsidP="004C3A46">
      <w:pPr>
        <w:ind w:firstLine="420"/>
        <w:rPr>
          <w:rFonts w:ascii="宋体" w:hAnsi="宋体"/>
          <w:szCs w:val="21"/>
        </w:rPr>
      </w:pPr>
      <m:oMathPara>
        <m:oMath>
          <m:sSub>
            <m:sSubPr>
              <m:ctrlPr>
                <w:rPr>
                  <w:rFonts w:ascii="Cambria Math" w:hAnsi="Cambria Math"/>
                  <w:sz w:val="24"/>
                </w:rPr>
              </m:ctrlPr>
            </m:sSubPr>
            <m:e>
              <m:r>
                <m:rPr>
                  <m:sty m:val="p"/>
                </m:rPr>
                <w:rPr>
                  <w:rFonts w:ascii="Cambria Math" w:hAnsi="Cambria Math"/>
                  <w:sz w:val="24"/>
                </w:rPr>
                <m:t>TII</m:t>
              </m:r>
            </m:e>
            <m:sub>
              <m:r>
                <m:rPr>
                  <m:sty m:val="p"/>
                </m:rPr>
                <w:rPr>
                  <w:rFonts w:ascii="Cambria Math" w:hAnsi="Cambria Math"/>
                  <w:sz w:val="24"/>
                </w:rPr>
                <m:t>M</m:t>
              </m:r>
            </m:sub>
          </m:sSub>
          <m:r>
            <m:rPr>
              <m:sty m:val="p"/>
            </m:rPr>
            <w:rPr>
              <w:rFonts w:ascii="Cambria Math" w:hAnsi="Cambria Math"/>
              <w:sz w:val="24"/>
            </w:rPr>
            <m:t>=</m:t>
          </m:r>
          <m:f>
            <m:fPr>
              <m:ctrlPr>
                <w:rPr>
                  <w:rFonts w:ascii="Cambria Math" w:hAnsi="Cambria Math"/>
                  <w:sz w:val="24"/>
                </w:rPr>
              </m:ctrlPr>
            </m:fPr>
            <m:num>
              <m:f>
                <m:fPr>
                  <m:type m:val="lin"/>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M</m:t>
                      </m:r>
                    </m:e>
                    <m:sub>
                      <m:r>
                        <m:rPr>
                          <m:sty m:val="p"/>
                        </m:rPr>
                        <w:rPr>
                          <w:rFonts w:ascii="Cambria Math" w:hAnsi="Cambria Math"/>
                          <w:sz w:val="24"/>
                        </w:rPr>
                        <m:t>ij</m:t>
                      </m:r>
                    </m:sub>
                  </m:sSub>
                </m:num>
                <m:den>
                  <m:sSub>
                    <m:sSubPr>
                      <m:ctrlPr>
                        <w:rPr>
                          <w:rFonts w:ascii="Cambria Math" w:hAnsi="Cambria Math"/>
                          <w:sz w:val="24"/>
                        </w:rPr>
                      </m:ctrlPr>
                    </m:sSubPr>
                    <m:e>
                      <m:r>
                        <m:rPr>
                          <m:sty m:val="p"/>
                        </m:rPr>
                        <w:rPr>
                          <w:rFonts w:ascii="Cambria Math" w:hAnsi="Cambria Math"/>
                          <w:sz w:val="24"/>
                        </w:rPr>
                        <m:t>M</m:t>
                      </m:r>
                    </m:e>
                    <m:sub>
                      <m:r>
                        <m:rPr>
                          <m:sty m:val="p"/>
                        </m:rPr>
                        <w:rPr>
                          <w:rFonts w:ascii="Cambria Math" w:hAnsi="Cambria Math"/>
                          <w:sz w:val="24"/>
                        </w:rPr>
                        <m:t>i</m:t>
                      </m:r>
                    </m:sub>
                  </m:sSub>
                </m:den>
              </m:f>
            </m:num>
            <m:den>
              <m:f>
                <m:fPr>
                  <m:type m:val="lin"/>
                  <m:ctrlPr>
                    <w:rPr>
                      <w:rFonts w:ascii="Cambria Math" w:hAnsi="Cambria Math"/>
                      <w:sz w:val="24"/>
                    </w:rPr>
                  </m:ctrlPr>
                </m:fPr>
                <m:num>
                  <m:sSub>
                    <m:sSubPr>
                      <m:ctrlPr>
                        <w:rPr>
                          <w:rFonts w:ascii="Cambria Math" w:hAnsi="Cambria Math"/>
                          <w:sz w:val="24"/>
                        </w:rPr>
                      </m:ctrlPr>
                    </m:sSubPr>
                    <m:e>
                      <m:r>
                        <m:rPr>
                          <m:sty m:val="p"/>
                        </m:rPr>
                        <w:rPr>
                          <w:rFonts w:ascii="Cambria Math" w:hAnsi="Cambria Math"/>
                          <w:sz w:val="24"/>
                        </w:rPr>
                        <m:t>X</m:t>
                      </m:r>
                    </m:e>
                    <m:sub>
                      <m:r>
                        <m:rPr>
                          <m:sty m:val="p"/>
                        </m:rPr>
                        <w:rPr>
                          <w:rFonts w:ascii="Cambria Math" w:hAnsi="Cambria Math"/>
                          <w:sz w:val="24"/>
                        </w:rPr>
                        <m:t>j</m:t>
                      </m:r>
                    </m:sub>
                  </m:sSub>
                </m:num>
                <m:den>
                  <m:sSub>
                    <m:sSubPr>
                      <m:ctrlPr>
                        <w:rPr>
                          <w:rFonts w:ascii="Cambria Math" w:hAnsi="Cambria Math"/>
                          <w:sz w:val="24"/>
                        </w:rPr>
                      </m:ctrlPr>
                    </m:sSubPr>
                    <m:e>
                      <m:r>
                        <m:rPr>
                          <m:sty m:val="p"/>
                        </m:rPr>
                        <w:rPr>
                          <w:rFonts w:ascii="Cambria Math" w:hAnsi="Cambria Math"/>
                          <w:sz w:val="24"/>
                        </w:rPr>
                        <m:t>(X</m:t>
                      </m:r>
                    </m:e>
                    <m:sub>
                      <m:r>
                        <m:rPr>
                          <m:sty m:val="p"/>
                        </m:rPr>
                        <w:rPr>
                          <w:rFonts w:ascii="Cambria Math" w:hAnsi="Cambria Math"/>
                          <w:sz w:val="24"/>
                        </w:rPr>
                        <m:t>w</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X</m:t>
                      </m:r>
                    </m:e>
                    <m:sub>
                      <m:r>
                        <m:rPr>
                          <m:sty m:val="p"/>
                        </m:rPr>
                        <w:rPr>
                          <w:rFonts w:ascii="Cambria Math" w:hAnsi="Cambria Math"/>
                          <w:sz w:val="24"/>
                        </w:rPr>
                        <m:t>i</m:t>
                      </m:r>
                    </m:sub>
                  </m:sSub>
                  <m:r>
                    <m:rPr>
                      <m:sty m:val="p"/>
                    </m:rPr>
                    <w:rPr>
                      <w:rFonts w:ascii="Cambria Math" w:hAnsi="Cambria Math"/>
                      <w:sz w:val="24"/>
                    </w:rPr>
                    <m:t>)</m:t>
                  </m:r>
                </m:den>
              </m:f>
            </m:den>
          </m:f>
        </m:oMath>
      </m:oMathPara>
    </w:p>
    <w:p w:rsidR="00051959" w:rsidRPr="00A425C1" w:rsidRDefault="00051959" w:rsidP="004C3A46">
      <w:pPr>
        <w:ind w:firstLine="420"/>
        <w:rPr>
          <w:rFonts w:ascii="宋体" w:hAnsi="宋体"/>
          <w:szCs w:val="21"/>
        </w:rPr>
      </w:pPr>
      <w:r w:rsidRPr="00A425C1">
        <w:rPr>
          <w:rFonts w:ascii="宋体" w:hAnsi="宋体" w:hint="eastAsia"/>
          <w:szCs w:val="21"/>
        </w:rPr>
        <w:t>其中，</w:t>
      </w:r>
      <m:oMath>
        <m:sSub>
          <m:sSubPr>
            <m:ctrlPr>
              <w:rPr>
                <w:rFonts w:ascii="Cambria Math" w:hAnsi="Cambria Math"/>
                <w:sz w:val="24"/>
              </w:rPr>
            </m:ctrlPr>
          </m:sSubPr>
          <m:e>
            <m:r>
              <m:rPr>
                <m:sty m:val="p"/>
              </m:rPr>
              <w:rPr>
                <w:rFonts w:ascii="Cambria Math" w:hAnsi="Cambria Math"/>
                <w:sz w:val="24"/>
              </w:rPr>
              <m:t>TII</m:t>
            </m:r>
          </m:e>
          <m:sub>
            <m:r>
              <m:rPr>
                <m:sty m:val="p"/>
              </m:rPr>
              <w:rPr>
                <w:rFonts w:ascii="Cambria Math" w:hAnsi="Cambria Math"/>
                <w:sz w:val="24"/>
              </w:rPr>
              <m:t>M</m:t>
            </m:r>
          </m:sub>
        </m:sSub>
      </m:oMath>
      <w:r w:rsidRPr="00A425C1">
        <w:rPr>
          <w:rFonts w:ascii="宋体" w:hAnsi="宋体" w:hint="eastAsia"/>
          <w:szCs w:val="21"/>
        </w:rPr>
        <w:t>表示进口贸易强度，</w:t>
      </w:r>
      <m:oMath>
        <m:sSub>
          <m:sSubPr>
            <m:ctrlPr>
              <w:rPr>
                <w:rFonts w:ascii="Cambria Math" w:hAnsi="Cambria Math"/>
                <w:sz w:val="24"/>
              </w:rPr>
            </m:ctrlPr>
          </m:sSubPr>
          <m:e>
            <m:r>
              <m:rPr>
                <m:sty m:val="p"/>
              </m:rPr>
              <w:rPr>
                <w:rFonts w:ascii="Cambria Math" w:hAnsi="Cambria Math"/>
                <w:sz w:val="24"/>
              </w:rPr>
              <m:t>M</m:t>
            </m:r>
          </m:e>
          <m:sub>
            <m:r>
              <m:rPr>
                <m:sty m:val="p"/>
              </m:rPr>
              <w:rPr>
                <w:rFonts w:ascii="Cambria Math" w:hAnsi="Cambria Math"/>
                <w:sz w:val="24"/>
              </w:rPr>
              <m:t>ij</m:t>
            </m:r>
          </m:sub>
        </m:sSub>
      </m:oMath>
      <w:r w:rsidRPr="00A425C1">
        <w:rPr>
          <w:rFonts w:ascii="宋体" w:hAnsi="宋体" w:hint="eastAsia"/>
          <w:szCs w:val="21"/>
        </w:rPr>
        <w:t>表示</w:t>
      </w:r>
      <w:proofErr w:type="spellStart"/>
      <w:r w:rsidRPr="00A425C1">
        <w:rPr>
          <w:rFonts w:ascii="宋体" w:hAnsi="宋体" w:hint="eastAsia"/>
          <w:szCs w:val="21"/>
        </w:rPr>
        <w:t>i</w:t>
      </w:r>
      <w:proofErr w:type="spellEnd"/>
      <w:r w:rsidRPr="00A425C1">
        <w:rPr>
          <w:rFonts w:ascii="宋体" w:hAnsi="宋体" w:hint="eastAsia"/>
          <w:szCs w:val="21"/>
        </w:rPr>
        <w:t>国对j国进口，</w:t>
      </w:r>
      <m:oMath>
        <m:sSub>
          <m:sSubPr>
            <m:ctrlPr>
              <w:rPr>
                <w:rFonts w:ascii="Cambria Math" w:hAnsi="Cambria Math"/>
                <w:sz w:val="24"/>
              </w:rPr>
            </m:ctrlPr>
          </m:sSubPr>
          <m:e>
            <m:r>
              <m:rPr>
                <m:sty m:val="p"/>
              </m:rPr>
              <w:rPr>
                <w:rFonts w:ascii="Cambria Math" w:hAnsi="Cambria Math"/>
                <w:sz w:val="24"/>
              </w:rPr>
              <m:t>M</m:t>
            </m:r>
          </m:e>
          <m:sub>
            <m:r>
              <m:rPr>
                <m:sty m:val="p"/>
              </m:rPr>
              <w:rPr>
                <w:rFonts w:ascii="Cambria Math" w:hAnsi="Cambria Math"/>
                <w:sz w:val="24"/>
              </w:rPr>
              <m:t>i</m:t>
            </m:r>
          </m:sub>
        </m:sSub>
      </m:oMath>
      <w:r w:rsidRPr="00A425C1">
        <w:rPr>
          <w:rFonts w:ascii="宋体" w:hAnsi="宋体" w:hint="eastAsia"/>
          <w:szCs w:val="21"/>
        </w:rPr>
        <w:t>表示</w:t>
      </w:r>
      <w:proofErr w:type="spellStart"/>
      <w:r w:rsidRPr="00A425C1">
        <w:rPr>
          <w:rFonts w:ascii="宋体" w:hAnsi="宋体" w:hint="eastAsia"/>
          <w:szCs w:val="21"/>
        </w:rPr>
        <w:t>i</w:t>
      </w:r>
      <w:proofErr w:type="spellEnd"/>
      <w:r w:rsidRPr="00A425C1">
        <w:rPr>
          <w:rFonts w:ascii="宋体" w:hAnsi="宋体" w:hint="eastAsia"/>
          <w:szCs w:val="21"/>
        </w:rPr>
        <w:t>国总的进口；</w:t>
      </w:r>
      <m:oMath>
        <m:sSub>
          <m:sSubPr>
            <m:ctrlPr>
              <w:rPr>
                <w:rFonts w:ascii="Cambria Math" w:hAnsi="Cambria Math"/>
                <w:sz w:val="24"/>
              </w:rPr>
            </m:ctrlPr>
          </m:sSubPr>
          <m:e>
            <m:r>
              <m:rPr>
                <m:sty m:val="p"/>
              </m:rPr>
              <w:rPr>
                <w:rFonts w:ascii="Cambria Math" w:hAnsi="Cambria Math"/>
                <w:sz w:val="24"/>
              </w:rPr>
              <m:t>X</m:t>
            </m:r>
          </m:e>
          <m:sub>
            <m:r>
              <m:rPr>
                <m:sty m:val="p"/>
              </m:rPr>
              <w:rPr>
                <w:rFonts w:ascii="Cambria Math" w:hAnsi="Cambria Math"/>
                <w:sz w:val="24"/>
              </w:rPr>
              <m:t>j</m:t>
            </m:r>
          </m:sub>
        </m:sSub>
      </m:oMath>
      <w:r w:rsidRPr="00A425C1">
        <w:rPr>
          <w:rFonts w:ascii="宋体" w:hAnsi="宋体" w:hint="eastAsia"/>
          <w:szCs w:val="21"/>
        </w:rPr>
        <w:t>表示j国出口，</w:t>
      </w:r>
      <m:oMath>
        <m:sSub>
          <m:sSubPr>
            <m:ctrlPr>
              <w:rPr>
                <w:rFonts w:ascii="Cambria Math" w:hAnsi="Cambria Math"/>
                <w:sz w:val="24"/>
              </w:rPr>
            </m:ctrlPr>
          </m:sSubPr>
          <m:e>
            <m:r>
              <m:rPr>
                <m:sty m:val="p"/>
              </m:rPr>
              <w:rPr>
                <w:rFonts w:ascii="Cambria Math" w:hAnsi="Cambria Math"/>
                <w:sz w:val="24"/>
              </w:rPr>
              <m:t>X</m:t>
            </m:r>
          </m:e>
          <m:sub>
            <m:r>
              <m:rPr>
                <m:sty m:val="p"/>
              </m:rPr>
              <w:rPr>
                <w:rFonts w:ascii="Cambria Math" w:hAnsi="Cambria Math"/>
                <w:sz w:val="24"/>
              </w:rPr>
              <m:t>w</m:t>
            </m:r>
          </m:sub>
        </m:sSub>
      </m:oMath>
      <w:r w:rsidRPr="00A425C1">
        <w:rPr>
          <w:rFonts w:ascii="宋体" w:hAnsi="宋体" w:hint="eastAsia"/>
          <w:szCs w:val="21"/>
        </w:rPr>
        <w:t>表示世界总出口，</w:t>
      </w:r>
      <m:oMath>
        <m:sSub>
          <m:sSubPr>
            <m:ctrlPr>
              <w:rPr>
                <w:rFonts w:ascii="Cambria Math" w:hAnsi="Cambria Math"/>
                <w:sz w:val="24"/>
              </w:rPr>
            </m:ctrlPr>
          </m:sSubPr>
          <m:e>
            <m:r>
              <m:rPr>
                <m:sty m:val="p"/>
              </m:rPr>
              <w:rPr>
                <w:rFonts w:ascii="Cambria Math" w:hAnsi="Cambria Math"/>
                <w:sz w:val="24"/>
              </w:rPr>
              <m:t>X</m:t>
            </m:r>
          </m:e>
          <m:sub>
            <m:r>
              <m:rPr>
                <m:sty m:val="p"/>
              </m:rPr>
              <w:rPr>
                <w:rFonts w:ascii="Cambria Math" w:hAnsi="Cambria Math"/>
                <w:sz w:val="24"/>
              </w:rPr>
              <m:t>i</m:t>
            </m:r>
          </m:sub>
        </m:sSub>
      </m:oMath>
      <w:r w:rsidRPr="00A425C1">
        <w:rPr>
          <w:rFonts w:ascii="宋体" w:hAnsi="宋体" w:hint="eastAsia"/>
          <w:szCs w:val="21"/>
        </w:rPr>
        <w:t>表示</w:t>
      </w:r>
      <w:proofErr w:type="spellStart"/>
      <w:r w:rsidRPr="00A425C1">
        <w:rPr>
          <w:rFonts w:ascii="宋体" w:hAnsi="宋体" w:hint="eastAsia"/>
          <w:szCs w:val="21"/>
        </w:rPr>
        <w:t>i</w:t>
      </w:r>
      <w:proofErr w:type="spellEnd"/>
      <w:r w:rsidRPr="00A425C1">
        <w:rPr>
          <w:rFonts w:ascii="宋体" w:hAnsi="宋体" w:hint="eastAsia"/>
          <w:szCs w:val="21"/>
        </w:rPr>
        <w:t>国出口。进口贸易强度指数的含义是：</w:t>
      </w:r>
      <w:proofErr w:type="spellStart"/>
      <w:r w:rsidRPr="00A425C1">
        <w:rPr>
          <w:rFonts w:ascii="宋体" w:hAnsi="宋体" w:hint="eastAsia"/>
          <w:szCs w:val="21"/>
        </w:rPr>
        <w:t>i</w:t>
      </w:r>
      <w:proofErr w:type="spellEnd"/>
      <w:r w:rsidRPr="00A425C1">
        <w:rPr>
          <w:rFonts w:ascii="宋体" w:hAnsi="宋体" w:hint="eastAsia"/>
          <w:szCs w:val="21"/>
        </w:rPr>
        <w:t>国对j</w:t>
      </w:r>
      <w:r w:rsidRPr="00A425C1">
        <w:rPr>
          <w:rFonts w:ascii="宋体" w:hAnsi="宋体" w:hint="eastAsia"/>
          <w:szCs w:val="21"/>
        </w:rPr>
        <w:lastRenderedPageBreak/>
        <w:t>国的进口占</w:t>
      </w:r>
      <w:proofErr w:type="spellStart"/>
      <w:r w:rsidRPr="00A425C1">
        <w:rPr>
          <w:rFonts w:ascii="宋体" w:hAnsi="宋体" w:hint="eastAsia"/>
          <w:szCs w:val="21"/>
        </w:rPr>
        <w:t>i</w:t>
      </w:r>
      <w:proofErr w:type="spellEnd"/>
      <w:r w:rsidRPr="00A425C1">
        <w:rPr>
          <w:rFonts w:ascii="宋体" w:hAnsi="宋体" w:hint="eastAsia"/>
          <w:szCs w:val="21"/>
        </w:rPr>
        <w:t>国总进口的份额与j国占除</w:t>
      </w:r>
      <w:proofErr w:type="spellStart"/>
      <w:r w:rsidRPr="00A425C1">
        <w:rPr>
          <w:rFonts w:ascii="宋体" w:hAnsi="宋体" w:hint="eastAsia"/>
          <w:szCs w:val="21"/>
        </w:rPr>
        <w:t>i</w:t>
      </w:r>
      <w:proofErr w:type="spellEnd"/>
      <w:r w:rsidRPr="00A425C1">
        <w:rPr>
          <w:rFonts w:ascii="宋体" w:hAnsi="宋体" w:hint="eastAsia"/>
          <w:szCs w:val="21"/>
        </w:rPr>
        <w:t>国之外的世界总出口的份额比值。各国之间的贸易数据来源于联合国商品贸易数据库。表2给出了各年7个上海合作组织国家与中国的空间经济联系度和贸易强度指数的计算结果。</w:t>
      </w:r>
    </w:p>
    <w:p w:rsidR="00051959" w:rsidRPr="00A425C1" w:rsidRDefault="00051959" w:rsidP="004C3A46">
      <w:pPr>
        <w:ind w:firstLine="420"/>
        <w:rPr>
          <w:rFonts w:ascii="宋体" w:hAnsi="宋体"/>
          <w:szCs w:val="21"/>
        </w:rPr>
      </w:pPr>
    </w:p>
    <w:p w:rsidR="00051959" w:rsidRPr="00A425C1" w:rsidRDefault="00051959" w:rsidP="00F372C1">
      <w:pPr>
        <w:ind w:firstLine="420"/>
        <w:jc w:val="center"/>
        <w:rPr>
          <w:rFonts w:ascii="宋体" w:hAnsi="宋体"/>
          <w:szCs w:val="21"/>
        </w:rPr>
      </w:pPr>
      <w:r w:rsidRPr="00A425C1">
        <w:rPr>
          <w:rFonts w:ascii="宋体" w:hAnsi="宋体" w:hint="eastAsia"/>
          <w:szCs w:val="21"/>
        </w:rPr>
        <w:t>表2  DEA模型输出变量的计算结果</w:t>
      </w:r>
    </w:p>
    <w:tbl>
      <w:tblPr>
        <w:tblW w:w="8467" w:type="dxa"/>
        <w:tblInd w:w="99" w:type="dxa"/>
        <w:tblLook w:val="04A0"/>
      </w:tblPr>
      <w:tblGrid>
        <w:gridCol w:w="860"/>
        <w:gridCol w:w="722"/>
        <w:gridCol w:w="979"/>
        <w:gridCol w:w="1228"/>
        <w:gridCol w:w="992"/>
        <w:gridCol w:w="1134"/>
        <w:gridCol w:w="851"/>
        <w:gridCol w:w="850"/>
        <w:gridCol w:w="851"/>
      </w:tblGrid>
      <w:tr w:rsidR="00051959" w:rsidRPr="007E7B0C" w:rsidTr="00EA29EC">
        <w:trPr>
          <w:trHeight w:val="288"/>
        </w:trPr>
        <w:tc>
          <w:tcPr>
            <w:tcW w:w="860" w:type="dxa"/>
            <w:vMerge w:val="restart"/>
            <w:tcBorders>
              <w:top w:val="single" w:sz="12" w:space="0" w:color="auto"/>
              <w:left w:val="nil"/>
              <w:right w:val="nil"/>
            </w:tcBorders>
            <w:shd w:val="clear" w:color="auto" w:fill="auto"/>
            <w:vAlign w:val="center"/>
            <w:hideMark/>
          </w:tcPr>
          <w:p w:rsidR="00051959" w:rsidRPr="007E7B0C" w:rsidRDefault="00051959" w:rsidP="007E7B0C">
            <w:pPr>
              <w:widowControl/>
              <w:jc w:val="left"/>
              <w:rPr>
                <w:color w:val="000000"/>
                <w:kern w:val="0"/>
                <w:szCs w:val="21"/>
              </w:rPr>
            </w:pPr>
            <w:r>
              <w:rPr>
                <w:rFonts w:hint="eastAsia"/>
                <w:color w:val="000000"/>
                <w:kern w:val="0"/>
                <w:szCs w:val="21"/>
              </w:rPr>
              <w:t>变量</w:t>
            </w:r>
          </w:p>
        </w:tc>
        <w:tc>
          <w:tcPr>
            <w:tcW w:w="722" w:type="dxa"/>
            <w:vMerge w:val="restart"/>
            <w:tcBorders>
              <w:top w:val="single" w:sz="12" w:space="0" w:color="auto"/>
              <w:left w:val="nil"/>
              <w:right w:val="nil"/>
            </w:tcBorders>
            <w:shd w:val="clear" w:color="auto" w:fill="auto"/>
            <w:vAlign w:val="center"/>
            <w:hideMark/>
          </w:tcPr>
          <w:p w:rsidR="00051959" w:rsidRPr="007E7B0C" w:rsidRDefault="00051959" w:rsidP="007E7B0C">
            <w:pPr>
              <w:widowControl/>
              <w:jc w:val="left"/>
              <w:rPr>
                <w:color w:val="000000"/>
                <w:kern w:val="0"/>
                <w:szCs w:val="21"/>
              </w:rPr>
            </w:pPr>
            <w:r>
              <w:rPr>
                <w:rFonts w:hint="eastAsia"/>
                <w:color w:val="000000"/>
                <w:kern w:val="0"/>
                <w:szCs w:val="21"/>
              </w:rPr>
              <w:t>年份</w:t>
            </w:r>
          </w:p>
        </w:tc>
        <w:tc>
          <w:tcPr>
            <w:tcW w:w="6885" w:type="dxa"/>
            <w:gridSpan w:val="7"/>
            <w:tcBorders>
              <w:top w:val="single" w:sz="12" w:space="0" w:color="auto"/>
              <w:left w:val="nil"/>
              <w:bottom w:val="single" w:sz="4" w:space="0" w:color="auto"/>
              <w:right w:val="nil"/>
            </w:tcBorders>
            <w:shd w:val="clear" w:color="auto" w:fill="auto"/>
            <w:noWrap/>
            <w:vAlign w:val="center"/>
            <w:hideMark/>
          </w:tcPr>
          <w:p w:rsidR="00051959" w:rsidRPr="007E7B0C" w:rsidRDefault="00051959" w:rsidP="007E7B0C">
            <w:pPr>
              <w:widowControl/>
              <w:jc w:val="center"/>
              <w:rPr>
                <w:rFonts w:hAnsi="宋体"/>
                <w:color w:val="000000"/>
                <w:kern w:val="0"/>
                <w:szCs w:val="21"/>
              </w:rPr>
            </w:pPr>
            <w:r>
              <w:rPr>
                <w:rFonts w:hAnsi="宋体" w:hint="eastAsia"/>
                <w:color w:val="000000"/>
                <w:kern w:val="0"/>
                <w:szCs w:val="21"/>
              </w:rPr>
              <w:t>国家</w:t>
            </w:r>
          </w:p>
        </w:tc>
      </w:tr>
      <w:tr w:rsidR="00051959" w:rsidRPr="007E7B0C" w:rsidTr="00EA29EC">
        <w:trPr>
          <w:trHeight w:val="288"/>
        </w:trPr>
        <w:tc>
          <w:tcPr>
            <w:tcW w:w="860" w:type="dxa"/>
            <w:vMerge/>
            <w:tcBorders>
              <w:left w:val="nil"/>
              <w:bottom w:val="single" w:sz="12" w:space="0" w:color="auto"/>
              <w:right w:val="nil"/>
            </w:tcBorders>
            <w:shd w:val="clear" w:color="auto" w:fill="auto"/>
            <w:vAlign w:val="center"/>
            <w:hideMark/>
          </w:tcPr>
          <w:p w:rsidR="00051959" w:rsidRPr="007E7B0C" w:rsidRDefault="00051959" w:rsidP="007E7B0C">
            <w:pPr>
              <w:widowControl/>
              <w:jc w:val="left"/>
              <w:rPr>
                <w:color w:val="000000"/>
                <w:kern w:val="0"/>
                <w:szCs w:val="21"/>
              </w:rPr>
            </w:pPr>
          </w:p>
        </w:tc>
        <w:tc>
          <w:tcPr>
            <w:tcW w:w="722" w:type="dxa"/>
            <w:vMerge/>
            <w:tcBorders>
              <w:left w:val="nil"/>
              <w:bottom w:val="single" w:sz="12" w:space="0" w:color="auto"/>
              <w:right w:val="nil"/>
            </w:tcBorders>
            <w:shd w:val="clear" w:color="auto" w:fill="auto"/>
            <w:vAlign w:val="center"/>
            <w:hideMark/>
          </w:tcPr>
          <w:p w:rsidR="00051959" w:rsidRPr="007E7B0C" w:rsidRDefault="00051959" w:rsidP="007E7B0C">
            <w:pPr>
              <w:widowControl/>
              <w:jc w:val="left"/>
              <w:rPr>
                <w:color w:val="000000"/>
                <w:kern w:val="0"/>
                <w:szCs w:val="21"/>
              </w:rPr>
            </w:pPr>
          </w:p>
        </w:tc>
        <w:tc>
          <w:tcPr>
            <w:tcW w:w="979" w:type="dxa"/>
            <w:tcBorders>
              <w:top w:val="single" w:sz="4" w:space="0" w:color="auto"/>
              <w:left w:val="nil"/>
              <w:bottom w:val="single" w:sz="12" w:space="0" w:color="auto"/>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rFonts w:hAnsi="宋体"/>
                <w:color w:val="000000"/>
                <w:kern w:val="0"/>
                <w:szCs w:val="21"/>
              </w:rPr>
              <w:t>哈萨克斯坦</w:t>
            </w:r>
          </w:p>
        </w:tc>
        <w:tc>
          <w:tcPr>
            <w:tcW w:w="1228" w:type="dxa"/>
            <w:tcBorders>
              <w:top w:val="single" w:sz="4" w:space="0" w:color="auto"/>
              <w:left w:val="nil"/>
              <w:bottom w:val="single" w:sz="12" w:space="0" w:color="auto"/>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rFonts w:hAnsi="宋体"/>
                <w:color w:val="000000"/>
                <w:kern w:val="0"/>
                <w:szCs w:val="21"/>
              </w:rPr>
              <w:t>吉尔吉斯斯坦</w:t>
            </w:r>
          </w:p>
        </w:tc>
        <w:tc>
          <w:tcPr>
            <w:tcW w:w="992" w:type="dxa"/>
            <w:tcBorders>
              <w:top w:val="single" w:sz="4" w:space="0" w:color="auto"/>
              <w:left w:val="nil"/>
              <w:bottom w:val="single" w:sz="12" w:space="0" w:color="auto"/>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rFonts w:hAnsi="宋体"/>
                <w:color w:val="000000"/>
                <w:kern w:val="0"/>
                <w:szCs w:val="21"/>
              </w:rPr>
              <w:t>塔吉克斯坦</w:t>
            </w:r>
          </w:p>
        </w:tc>
        <w:tc>
          <w:tcPr>
            <w:tcW w:w="1134" w:type="dxa"/>
            <w:tcBorders>
              <w:top w:val="single" w:sz="4" w:space="0" w:color="auto"/>
              <w:left w:val="nil"/>
              <w:bottom w:val="single" w:sz="12" w:space="0" w:color="auto"/>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rFonts w:hAnsi="宋体"/>
                <w:color w:val="000000"/>
                <w:kern w:val="0"/>
                <w:szCs w:val="21"/>
              </w:rPr>
              <w:t>乌兹别克斯坦</w:t>
            </w:r>
          </w:p>
        </w:tc>
        <w:tc>
          <w:tcPr>
            <w:tcW w:w="851" w:type="dxa"/>
            <w:tcBorders>
              <w:top w:val="single" w:sz="4" w:space="0" w:color="auto"/>
              <w:left w:val="nil"/>
              <w:bottom w:val="single" w:sz="12" w:space="0" w:color="auto"/>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rFonts w:hAnsi="宋体"/>
                <w:color w:val="000000"/>
                <w:kern w:val="0"/>
                <w:szCs w:val="21"/>
              </w:rPr>
              <w:t>印度</w:t>
            </w:r>
          </w:p>
        </w:tc>
        <w:tc>
          <w:tcPr>
            <w:tcW w:w="850" w:type="dxa"/>
            <w:tcBorders>
              <w:top w:val="single" w:sz="4" w:space="0" w:color="auto"/>
              <w:left w:val="nil"/>
              <w:bottom w:val="single" w:sz="12" w:space="0" w:color="auto"/>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rFonts w:hAnsi="宋体"/>
                <w:color w:val="000000"/>
                <w:kern w:val="0"/>
                <w:szCs w:val="21"/>
              </w:rPr>
              <w:t>俄罗斯</w:t>
            </w:r>
          </w:p>
        </w:tc>
        <w:tc>
          <w:tcPr>
            <w:tcW w:w="851" w:type="dxa"/>
            <w:tcBorders>
              <w:top w:val="single" w:sz="4" w:space="0" w:color="auto"/>
              <w:left w:val="nil"/>
              <w:bottom w:val="single" w:sz="12" w:space="0" w:color="auto"/>
              <w:right w:val="nil"/>
            </w:tcBorders>
            <w:shd w:val="clear" w:color="auto" w:fill="auto"/>
            <w:noWrap/>
            <w:vAlign w:val="center"/>
            <w:hideMark/>
          </w:tcPr>
          <w:p w:rsidR="00051959" w:rsidRDefault="00051959" w:rsidP="007E7B0C">
            <w:pPr>
              <w:widowControl/>
              <w:jc w:val="center"/>
              <w:rPr>
                <w:rFonts w:hAnsi="宋体"/>
                <w:color w:val="000000"/>
                <w:kern w:val="0"/>
                <w:szCs w:val="21"/>
              </w:rPr>
            </w:pPr>
            <w:r w:rsidRPr="007E7B0C">
              <w:rPr>
                <w:rFonts w:hAnsi="宋体"/>
                <w:color w:val="000000"/>
                <w:kern w:val="0"/>
                <w:szCs w:val="21"/>
              </w:rPr>
              <w:t>巴基</w:t>
            </w:r>
          </w:p>
          <w:p w:rsidR="00051959" w:rsidRPr="007E7B0C" w:rsidRDefault="00051959" w:rsidP="007E7B0C">
            <w:pPr>
              <w:widowControl/>
              <w:jc w:val="center"/>
              <w:rPr>
                <w:color w:val="000000"/>
                <w:kern w:val="0"/>
                <w:szCs w:val="21"/>
              </w:rPr>
            </w:pPr>
            <w:r w:rsidRPr="007E7B0C">
              <w:rPr>
                <w:rFonts w:hAnsi="宋体"/>
                <w:color w:val="000000"/>
                <w:kern w:val="0"/>
                <w:szCs w:val="21"/>
              </w:rPr>
              <w:t>斯坦</w:t>
            </w:r>
          </w:p>
        </w:tc>
      </w:tr>
      <w:tr w:rsidR="00051959" w:rsidRPr="007E7B0C" w:rsidTr="00EA29EC">
        <w:trPr>
          <w:trHeight w:val="288"/>
        </w:trPr>
        <w:tc>
          <w:tcPr>
            <w:tcW w:w="860" w:type="dxa"/>
            <w:vMerge w:val="restart"/>
            <w:tcBorders>
              <w:top w:val="single" w:sz="12" w:space="0" w:color="auto"/>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rFonts w:hAnsi="宋体"/>
                <w:color w:val="000000"/>
                <w:kern w:val="0"/>
                <w:szCs w:val="21"/>
              </w:rPr>
              <w:t>空间经济联系</w:t>
            </w:r>
          </w:p>
        </w:tc>
        <w:tc>
          <w:tcPr>
            <w:tcW w:w="722" w:type="dxa"/>
            <w:tcBorders>
              <w:top w:val="single" w:sz="12" w:space="0" w:color="auto"/>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2008</w:t>
            </w:r>
          </w:p>
        </w:tc>
        <w:tc>
          <w:tcPr>
            <w:tcW w:w="979" w:type="dxa"/>
            <w:tcBorders>
              <w:top w:val="single" w:sz="12" w:space="0" w:color="auto"/>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8.43 </w:t>
            </w:r>
          </w:p>
        </w:tc>
        <w:tc>
          <w:tcPr>
            <w:tcW w:w="1228" w:type="dxa"/>
            <w:tcBorders>
              <w:top w:val="single" w:sz="12" w:space="0" w:color="auto"/>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1.07 </w:t>
            </w:r>
          </w:p>
        </w:tc>
        <w:tc>
          <w:tcPr>
            <w:tcW w:w="992" w:type="dxa"/>
            <w:tcBorders>
              <w:top w:val="single" w:sz="12" w:space="0" w:color="auto"/>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0.91 </w:t>
            </w:r>
          </w:p>
        </w:tc>
        <w:tc>
          <w:tcPr>
            <w:tcW w:w="1134" w:type="dxa"/>
            <w:tcBorders>
              <w:top w:val="single" w:sz="12" w:space="0" w:color="auto"/>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4.50 </w:t>
            </w:r>
          </w:p>
        </w:tc>
        <w:tc>
          <w:tcPr>
            <w:tcW w:w="851" w:type="dxa"/>
            <w:tcBorders>
              <w:top w:val="single" w:sz="12" w:space="0" w:color="auto"/>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200.34 </w:t>
            </w:r>
          </w:p>
        </w:tc>
        <w:tc>
          <w:tcPr>
            <w:tcW w:w="850" w:type="dxa"/>
            <w:tcBorders>
              <w:top w:val="single" w:sz="12" w:space="0" w:color="auto"/>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35.52 </w:t>
            </w:r>
          </w:p>
        </w:tc>
        <w:tc>
          <w:tcPr>
            <w:tcW w:w="851" w:type="dxa"/>
            <w:tcBorders>
              <w:top w:val="single" w:sz="12" w:space="0" w:color="auto"/>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27.22 </w:t>
            </w:r>
          </w:p>
        </w:tc>
      </w:tr>
      <w:tr w:rsidR="00051959" w:rsidRPr="007E7B0C" w:rsidTr="00EA29EC">
        <w:trPr>
          <w:trHeight w:val="288"/>
        </w:trPr>
        <w:tc>
          <w:tcPr>
            <w:tcW w:w="860" w:type="dxa"/>
            <w:vMerge/>
            <w:tcBorders>
              <w:top w:val="nil"/>
              <w:left w:val="nil"/>
              <w:bottom w:val="nil"/>
              <w:right w:val="nil"/>
            </w:tcBorders>
            <w:vAlign w:val="center"/>
            <w:hideMark/>
          </w:tcPr>
          <w:p w:rsidR="00051959" w:rsidRPr="007E7B0C" w:rsidRDefault="00051959" w:rsidP="007E7B0C">
            <w:pPr>
              <w:widowControl/>
              <w:jc w:val="left"/>
              <w:rPr>
                <w:color w:val="000000"/>
                <w:kern w:val="0"/>
                <w:szCs w:val="21"/>
              </w:rPr>
            </w:pPr>
          </w:p>
        </w:tc>
        <w:tc>
          <w:tcPr>
            <w:tcW w:w="722"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2009</w:t>
            </w:r>
          </w:p>
        </w:tc>
        <w:tc>
          <w:tcPr>
            <w:tcW w:w="979"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8.39 </w:t>
            </w:r>
          </w:p>
        </w:tc>
        <w:tc>
          <w:tcPr>
            <w:tcW w:w="1228"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1.08 </w:t>
            </w:r>
          </w:p>
        </w:tc>
        <w:tc>
          <w:tcPr>
            <w:tcW w:w="992"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0.96 </w:t>
            </w:r>
          </w:p>
        </w:tc>
        <w:tc>
          <w:tcPr>
            <w:tcW w:w="1134"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5.12 </w:t>
            </w:r>
          </w:p>
        </w:tc>
        <w:tc>
          <w:tcPr>
            <w:tcW w:w="851"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225.20 </w:t>
            </w:r>
          </w:p>
        </w:tc>
        <w:tc>
          <w:tcPr>
            <w:tcW w:w="850"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32.19 </w:t>
            </w:r>
          </w:p>
        </w:tc>
        <w:tc>
          <w:tcPr>
            <w:tcW w:w="851"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28.90 </w:t>
            </w:r>
          </w:p>
        </w:tc>
      </w:tr>
      <w:tr w:rsidR="00051959" w:rsidRPr="007E7B0C" w:rsidTr="00EA29EC">
        <w:trPr>
          <w:trHeight w:val="288"/>
        </w:trPr>
        <w:tc>
          <w:tcPr>
            <w:tcW w:w="860" w:type="dxa"/>
            <w:vMerge/>
            <w:tcBorders>
              <w:top w:val="nil"/>
              <w:left w:val="nil"/>
              <w:bottom w:val="nil"/>
              <w:right w:val="nil"/>
            </w:tcBorders>
            <w:vAlign w:val="center"/>
            <w:hideMark/>
          </w:tcPr>
          <w:p w:rsidR="00051959" w:rsidRPr="007E7B0C" w:rsidRDefault="00051959" w:rsidP="007E7B0C">
            <w:pPr>
              <w:widowControl/>
              <w:jc w:val="left"/>
              <w:rPr>
                <w:color w:val="000000"/>
                <w:kern w:val="0"/>
                <w:szCs w:val="21"/>
              </w:rPr>
            </w:pPr>
          </w:p>
        </w:tc>
        <w:tc>
          <w:tcPr>
            <w:tcW w:w="722"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2010</w:t>
            </w:r>
          </w:p>
        </w:tc>
        <w:tc>
          <w:tcPr>
            <w:tcW w:w="979"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10.48 </w:t>
            </w:r>
          </w:p>
        </w:tc>
        <w:tc>
          <w:tcPr>
            <w:tcW w:w="1228"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1.21 </w:t>
            </w:r>
          </w:p>
        </w:tc>
        <w:tc>
          <w:tcPr>
            <w:tcW w:w="992"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1.13 </w:t>
            </w:r>
          </w:p>
        </w:tc>
        <w:tc>
          <w:tcPr>
            <w:tcW w:w="1134"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6.14 </w:t>
            </w:r>
          </w:p>
        </w:tc>
        <w:tc>
          <w:tcPr>
            <w:tcW w:w="851"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277.83 </w:t>
            </w:r>
          </w:p>
        </w:tc>
        <w:tc>
          <w:tcPr>
            <w:tcW w:w="850"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39.38 </w:t>
            </w:r>
          </w:p>
        </w:tc>
        <w:tc>
          <w:tcPr>
            <w:tcW w:w="851"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32.86 </w:t>
            </w:r>
          </w:p>
        </w:tc>
      </w:tr>
      <w:tr w:rsidR="00051959" w:rsidRPr="007E7B0C" w:rsidTr="00EA29EC">
        <w:trPr>
          <w:trHeight w:val="288"/>
        </w:trPr>
        <w:tc>
          <w:tcPr>
            <w:tcW w:w="860" w:type="dxa"/>
            <w:vMerge/>
            <w:tcBorders>
              <w:top w:val="nil"/>
              <w:left w:val="nil"/>
              <w:bottom w:val="nil"/>
              <w:right w:val="nil"/>
            </w:tcBorders>
            <w:vAlign w:val="center"/>
            <w:hideMark/>
          </w:tcPr>
          <w:p w:rsidR="00051959" w:rsidRPr="007E7B0C" w:rsidRDefault="00051959" w:rsidP="007E7B0C">
            <w:pPr>
              <w:widowControl/>
              <w:jc w:val="left"/>
              <w:rPr>
                <w:color w:val="000000"/>
                <w:kern w:val="0"/>
                <w:szCs w:val="21"/>
              </w:rPr>
            </w:pPr>
          </w:p>
        </w:tc>
        <w:tc>
          <w:tcPr>
            <w:tcW w:w="722"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2011</w:t>
            </w:r>
          </w:p>
        </w:tc>
        <w:tc>
          <w:tcPr>
            <w:tcW w:w="979"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13.45 </w:t>
            </w:r>
          </w:p>
        </w:tc>
        <w:tc>
          <w:tcPr>
            <w:tcW w:w="1228"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1.54 </w:t>
            </w:r>
          </w:p>
        </w:tc>
        <w:tc>
          <w:tcPr>
            <w:tcW w:w="992"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1.38 </w:t>
            </w:r>
          </w:p>
        </w:tc>
        <w:tc>
          <w:tcPr>
            <w:tcW w:w="1134"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7.51 </w:t>
            </w:r>
          </w:p>
        </w:tc>
        <w:tc>
          <w:tcPr>
            <w:tcW w:w="851"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327.72 </w:t>
            </w:r>
          </w:p>
        </w:tc>
        <w:tc>
          <w:tcPr>
            <w:tcW w:w="850"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51.22 </w:t>
            </w:r>
          </w:p>
        </w:tc>
        <w:tc>
          <w:tcPr>
            <w:tcW w:w="851"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40.75 </w:t>
            </w:r>
          </w:p>
        </w:tc>
      </w:tr>
      <w:tr w:rsidR="00051959" w:rsidRPr="007E7B0C" w:rsidTr="00EA29EC">
        <w:trPr>
          <w:trHeight w:val="288"/>
        </w:trPr>
        <w:tc>
          <w:tcPr>
            <w:tcW w:w="860" w:type="dxa"/>
            <w:vMerge/>
            <w:tcBorders>
              <w:top w:val="nil"/>
              <w:left w:val="nil"/>
              <w:bottom w:val="nil"/>
              <w:right w:val="nil"/>
            </w:tcBorders>
            <w:vAlign w:val="center"/>
            <w:hideMark/>
          </w:tcPr>
          <w:p w:rsidR="00051959" w:rsidRPr="007E7B0C" w:rsidRDefault="00051959" w:rsidP="007E7B0C">
            <w:pPr>
              <w:widowControl/>
              <w:jc w:val="left"/>
              <w:rPr>
                <w:color w:val="000000"/>
                <w:kern w:val="0"/>
                <w:szCs w:val="21"/>
              </w:rPr>
            </w:pPr>
          </w:p>
        </w:tc>
        <w:tc>
          <w:tcPr>
            <w:tcW w:w="722"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2012</w:t>
            </w:r>
          </w:p>
        </w:tc>
        <w:tc>
          <w:tcPr>
            <w:tcW w:w="979"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15.00 </w:t>
            </w:r>
          </w:p>
        </w:tc>
        <w:tc>
          <w:tcPr>
            <w:tcW w:w="1228"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1.71 </w:t>
            </w:r>
          </w:p>
        </w:tc>
        <w:tc>
          <w:tcPr>
            <w:tcW w:w="992"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1.61 </w:t>
            </w:r>
          </w:p>
        </w:tc>
        <w:tc>
          <w:tcPr>
            <w:tcW w:w="1134"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8.57 </w:t>
            </w:r>
          </w:p>
        </w:tc>
        <w:tc>
          <w:tcPr>
            <w:tcW w:w="851"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352.06 </w:t>
            </w:r>
          </w:p>
        </w:tc>
        <w:tc>
          <w:tcPr>
            <w:tcW w:w="850"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56.72 </w:t>
            </w:r>
          </w:p>
        </w:tc>
        <w:tc>
          <w:tcPr>
            <w:tcW w:w="851"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44.99 </w:t>
            </w:r>
          </w:p>
        </w:tc>
      </w:tr>
      <w:tr w:rsidR="00051959" w:rsidRPr="007E7B0C" w:rsidTr="00EA29EC">
        <w:trPr>
          <w:trHeight w:val="288"/>
        </w:trPr>
        <w:tc>
          <w:tcPr>
            <w:tcW w:w="860" w:type="dxa"/>
            <w:vMerge/>
            <w:tcBorders>
              <w:top w:val="nil"/>
              <w:left w:val="nil"/>
              <w:bottom w:val="nil"/>
              <w:right w:val="nil"/>
            </w:tcBorders>
            <w:vAlign w:val="center"/>
            <w:hideMark/>
          </w:tcPr>
          <w:p w:rsidR="00051959" w:rsidRPr="007E7B0C" w:rsidRDefault="00051959" w:rsidP="007E7B0C">
            <w:pPr>
              <w:widowControl/>
              <w:jc w:val="left"/>
              <w:rPr>
                <w:color w:val="000000"/>
                <w:kern w:val="0"/>
                <w:szCs w:val="21"/>
              </w:rPr>
            </w:pPr>
          </w:p>
        </w:tc>
        <w:tc>
          <w:tcPr>
            <w:tcW w:w="722"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2013</w:t>
            </w:r>
          </w:p>
        </w:tc>
        <w:tc>
          <w:tcPr>
            <w:tcW w:w="979"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17.12 </w:t>
            </w:r>
          </w:p>
        </w:tc>
        <w:tc>
          <w:tcPr>
            <w:tcW w:w="1228"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1.94 </w:t>
            </w:r>
          </w:p>
        </w:tc>
        <w:tc>
          <w:tcPr>
            <w:tcW w:w="992"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1.82 </w:t>
            </w:r>
          </w:p>
        </w:tc>
        <w:tc>
          <w:tcPr>
            <w:tcW w:w="1134"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9.68 </w:t>
            </w:r>
          </w:p>
        </w:tc>
        <w:tc>
          <w:tcPr>
            <w:tcW w:w="851"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379.30 </w:t>
            </w:r>
          </w:p>
        </w:tc>
        <w:tc>
          <w:tcPr>
            <w:tcW w:w="850"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61.48 </w:t>
            </w:r>
          </w:p>
        </w:tc>
        <w:tc>
          <w:tcPr>
            <w:tcW w:w="851"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49.02 </w:t>
            </w:r>
          </w:p>
        </w:tc>
      </w:tr>
      <w:tr w:rsidR="00051959" w:rsidRPr="007E7B0C" w:rsidTr="00EA29EC">
        <w:trPr>
          <w:trHeight w:val="288"/>
        </w:trPr>
        <w:tc>
          <w:tcPr>
            <w:tcW w:w="860" w:type="dxa"/>
            <w:vMerge/>
            <w:tcBorders>
              <w:top w:val="nil"/>
              <w:left w:val="nil"/>
              <w:bottom w:val="nil"/>
              <w:right w:val="nil"/>
            </w:tcBorders>
            <w:vAlign w:val="center"/>
            <w:hideMark/>
          </w:tcPr>
          <w:p w:rsidR="00051959" w:rsidRPr="007E7B0C" w:rsidRDefault="00051959" w:rsidP="007E7B0C">
            <w:pPr>
              <w:widowControl/>
              <w:jc w:val="left"/>
              <w:rPr>
                <w:color w:val="000000"/>
                <w:kern w:val="0"/>
                <w:szCs w:val="21"/>
              </w:rPr>
            </w:pPr>
          </w:p>
        </w:tc>
        <w:tc>
          <w:tcPr>
            <w:tcW w:w="722"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2014</w:t>
            </w:r>
          </w:p>
        </w:tc>
        <w:tc>
          <w:tcPr>
            <w:tcW w:w="979"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17.47 </w:t>
            </w:r>
          </w:p>
        </w:tc>
        <w:tc>
          <w:tcPr>
            <w:tcW w:w="1228"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2.07 </w:t>
            </w:r>
          </w:p>
        </w:tc>
        <w:tc>
          <w:tcPr>
            <w:tcW w:w="992"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2.01 </w:t>
            </w:r>
          </w:p>
        </w:tc>
        <w:tc>
          <w:tcPr>
            <w:tcW w:w="1134"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10.69 </w:t>
            </w:r>
          </w:p>
        </w:tc>
        <w:tc>
          <w:tcPr>
            <w:tcW w:w="851"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418.52 </w:t>
            </w:r>
          </w:p>
        </w:tc>
        <w:tc>
          <w:tcPr>
            <w:tcW w:w="850"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61.57 </w:t>
            </w:r>
          </w:p>
        </w:tc>
        <w:tc>
          <w:tcPr>
            <w:tcW w:w="851"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53.32 </w:t>
            </w:r>
          </w:p>
        </w:tc>
      </w:tr>
      <w:tr w:rsidR="00051959" w:rsidRPr="007E7B0C" w:rsidTr="00EA29EC">
        <w:trPr>
          <w:trHeight w:val="288"/>
        </w:trPr>
        <w:tc>
          <w:tcPr>
            <w:tcW w:w="860" w:type="dxa"/>
            <w:vMerge/>
            <w:tcBorders>
              <w:top w:val="nil"/>
              <w:left w:val="nil"/>
              <w:bottom w:val="nil"/>
              <w:right w:val="nil"/>
            </w:tcBorders>
            <w:vAlign w:val="center"/>
            <w:hideMark/>
          </w:tcPr>
          <w:p w:rsidR="00051959" w:rsidRPr="007E7B0C" w:rsidRDefault="00051959" w:rsidP="007E7B0C">
            <w:pPr>
              <w:widowControl/>
              <w:jc w:val="left"/>
              <w:rPr>
                <w:color w:val="000000"/>
                <w:kern w:val="0"/>
                <w:szCs w:val="21"/>
              </w:rPr>
            </w:pPr>
          </w:p>
        </w:tc>
        <w:tc>
          <w:tcPr>
            <w:tcW w:w="722"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2015</w:t>
            </w:r>
          </w:p>
        </w:tc>
        <w:tc>
          <w:tcPr>
            <w:tcW w:w="979"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16.54 </w:t>
            </w:r>
          </w:p>
        </w:tc>
        <w:tc>
          <w:tcPr>
            <w:tcW w:w="1228"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2.03 </w:t>
            </w:r>
          </w:p>
        </w:tc>
        <w:tc>
          <w:tcPr>
            <w:tcW w:w="992"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1.93 </w:t>
            </w:r>
          </w:p>
        </w:tc>
        <w:tc>
          <w:tcPr>
            <w:tcW w:w="1134"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11.44 </w:t>
            </w:r>
          </w:p>
        </w:tc>
        <w:tc>
          <w:tcPr>
            <w:tcW w:w="851"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439.51 </w:t>
            </w:r>
          </w:p>
        </w:tc>
        <w:tc>
          <w:tcPr>
            <w:tcW w:w="850"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51.64 </w:t>
            </w:r>
          </w:p>
        </w:tc>
        <w:tc>
          <w:tcPr>
            <w:tcW w:w="851"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58.39 </w:t>
            </w:r>
          </w:p>
        </w:tc>
      </w:tr>
      <w:tr w:rsidR="00051959" w:rsidRPr="007E7B0C" w:rsidTr="00EA29EC">
        <w:trPr>
          <w:trHeight w:val="288"/>
        </w:trPr>
        <w:tc>
          <w:tcPr>
            <w:tcW w:w="860" w:type="dxa"/>
            <w:vMerge/>
            <w:tcBorders>
              <w:top w:val="nil"/>
              <w:left w:val="nil"/>
              <w:bottom w:val="single" w:sz="4" w:space="0" w:color="auto"/>
              <w:right w:val="nil"/>
            </w:tcBorders>
            <w:vAlign w:val="center"/>
            <w:hideMark/>
          </w:tcPr>
          <w:p w:rsidR="00051959" w:rsidRPr="007E7B0C" w:rsidRDefault="00051959" w:rsidP="007E7B0C">
            <w:pPr>
              <w:widowControl/>
              <w:jc w:val="left"/>
              <w:rPr>
                <w:color w:val="000000"/>
                <w:kern w:val="0"/>
                <w:szCs w:val="21"/>
              </w:rPr>
            </w:pPr>
          </w:p>
        </w:tc>
        <w:tc>
          <w:tcPr>
            <w:tcW w:w="722" w:type="dxa"/>
            <w:tcBorders>
              <w:top w:val="nil"/>
              <w:left w:val="nil"/>
              <w:bottom w:val="single" w:sz="4" w:space="0" w:color="auto"/>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2016</w:t>
            </w:r>
          </w:p>
        </w:tc>
        <w:tc>
          <w:tcPr>
            <w:tcW w:w="979" w:type="dxa"/>
            <w:tcBorders>
              <w:top w:val="nil"/>
              <w:left w:val="nil"/>
              <w:bottom w:val="single" w:sz="4" w:space="0" w:color="auto"/>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14.50 </w:t>
            </w:r>
          </w:p>
        </w:tc>
        <w:tc>
          <w:tcPr>
            <w:tcW w:w="1228" w:type="dxa"/>
            <w:tcBorders>
              <w:top w:val="nil"/>
              <w:left w:val="nil"/>
              <w:bottom w:val="single" w:sz="4" w:space="0" w:color="auto"/>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2.05 </w:t>
            </w:r>
          </w:p>
        </w:tc>
        <w:tc>
          <w:tcPr>
            <w:tcW w:w="992" w:type="dxa"/>
            <w:tcBorders>
              <w:top w:val="nil"/>
              <w:left w:val="nil"/>
              <w:bottom w:val="single" w:sz="4" w:space="0" w:color="auto"/>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1.85 </w:t>
            </w:r>
          </w:p>
        </w:tc>
        <w:tc>
          <w:tcPr>
            <w:tcW w:w="1134" w:type="dxa"/>
            <w:tcBorders>
              <w:top w:val="nil"/>
              <w:left w:val="nil"/>
              <w:bottom w:val="single" w:sz="4" w:space="0" w:color="auto"/>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11.66 </w:t>
            </w:r>
          </w:p>
        </w:tc>
        <w:tc>
          <w:tcPr>
            <w:tcW w:w="851" w:type="dxa"/>
            <w:tcBorders>
              <w:top w:val="nil"/>
              <w:left w:val="nil"/>
              <w:bottom w:val="single" w:sz="4" w:space="0" w:color="auto"/>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464.25 </w:t>
            </w:r>
          </w:p>
        </w:tc>
        <w:tc>
          <w:tcPr>
            <w:tcW w:w="850" w:type="dxa"/>
            <w:tcBorders>
              <w:top w:val="nil"/>
              <w:left w:val="nil"/>
              <w:bottom w:val="single" w:sz="4" w:space="0" w:color="auto"/>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50.55 </w:t>
            </w:r>
          </w:p>
        </w:tc>
        <w:tc>
          <w:tcPr>
            <w:tcW w:w="851" w:type="dxa"/>
            <w:tcBorders>
              <w:top w:val="nil"/>
              <w:left w:val="nil"/>
              <w:bottom w:val="single" w:sz="4" w:space="0" w:color="auto"/>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60.40 </w:t>
            </w:r>
          </w:p>
        </w:tc>
      </w:tr>
      <w:tr w:rsidR="00051959" w:rsidRPr="007E7B0C" w:rsidTr="00EA29EC">
        <w:trPr>
          <w:trHeight w:val="288"/>
        </w:trPr>
        <w:tc>
          <w:tcPr>
            <w:tcW w:w="860" w:type="dxa"/>
            <w:vMerge w:val="restart"/>
            <w:tcBorders>
              <w:top w:val="single" w:sz="4" w:space="0" w:color="auto"/>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rFonts w:hAnsi="宋体"/>
                <w:color w:val="000000"/>
                <w:kern w:val="0"/>
                <w:szCs w:val="21"/>
              </w:rPr>
              <w:t>贸易强度指数</w:t>
            </w:r>
          </w:p>
        </w:tc>
        <w:tc>
          <w:tcPr>
            <w:tcW w:w="722" w:type="dxa"/>
            <w:tcBorders>
              <w:top w:val="single" w:sz="4" w:space="0" w:color="auto"/>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2008</w:t>
            </w:r>
          </w:p>
        </w:tc>
        <w:tc>
          <w:tcPr>
            <w:tcW w:w="979" w:type="dxa"/>
            <w:tcBorders>
              <w:top w:val="single" w:sz="4" w:space="0" w:color="auto"/>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1.47 </w:t>
            </w:r>
          </w:p>
        </w:tc>
        <w:tc>
          <w:tcPr>
            <w:tcW w:w="1228" w:type="dxa"/>
            <w:tcBorders>
              <w:top w:val="single" w:sz="4" w:space="0" w:color="auto"/>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1.19 </w:t>
            </w:r>
          </w:p>
        </w:tc>
        <w:tc>
          <w:tcPr>
            <w:tcW w:w="992" w:type="dxa"/>
            <w:tcBorders>
              <w:top w:val="single" w:sz="4" w:space="0" w:color="auto"/>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1.10 </w:t>
            </w:r>
          </w:p>
        </w:tc>
        <w:tc>
          <w:tcPr>
            <w:tcW w:w="1134" w:type="dxa"/>
            <w:tcBorders>
              <w:top w:val="single" w:sz="4" w:space="0" w:color="auto"/>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1.07 </w:t>
            </w:r>
          </w:p>
        </w:tc>
        <w:tc>
          <w:tcPr>
            <w:tcW w:w="851" w:type="dxa"/>
            <w:tcBorders>
              <w:top w:val="single" w:sz="4" w:space="0" w:color="auto"/>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0.94 </w:t>
            </w:r>
          </w:p>
        </w:tc>
        <w:tc>
          <w:tcPr>
            <w:tcW w:w="850" w:type="dxa"/>
            <w:tcBorders>
              <w:top w:val="single" w:sz="4" w:space="0" w:color="auto"/>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1.04 </w:t>
            </w:r>
          </w:p>
        </w:tc>
        <w:tc>
          <w:tcPr>
            <w:tcW w:w="851" w:type="dxa"/>
            <w:tcBorders>
              <w:top w:val="single" w:sz="4" w:space="0" w:color="auto"/>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0.89 </w:t>
            </w:r>
          </w:p>
        </w:tc>
      </w:tr>
      <w:tr w:rsidR="00051959" w:rsidRPr="007E7B0C" w:rsidTr="00EA29EC">
        <w:trPr>
          <w:trHeight w:val="288"/>
        </w:trPr>
        <w:tc>
          <w:tcPr>
            <w:tcW w:w="860" w:type="dxa"/>
            <w:vMerge/>
            <w:tcBorders>
              <w:top w:val="nil"/>
              <w:left w:val="nil"/>
              <w:bottom w:val="nil"/>
              <w:right w:val="nil"/>
            </w:tcBorders>
            <w:vAlign w:val="center"/>
            <w:hideMark/>
          </w:tcPr>
          <w:p w:rsidR="00051959" w:rsidRPr="007E7B0C" w:rsidRDefault="00051959" w:rsidP="007E7B0C">
            <w:pPr>
              <w:widowControl/>
              <w:jc w:val="left"/>
              <w:rPr>
                <w:color w:val="000000"/>
                <w:kern w:val="0"/>
                <w:szCs w:val="21"/>
              </w:rPr>
            </w:pPr>
          </w:p>
        </w:tc>
        <w:tc>
          <w:tcPr>
            <w:tcW w:w="722"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2009</w:t>
            </w:r>
          </w:p>
        </w:tc>
        <w:tc>
          <w:tcPr>
            <w:tcW w:w="979"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1.52 </w:t>
            </w:r>
          </w:p>
        </w:tc>
        <w:tc>
          <w:tcPr>
            <w:tcW w:w="1228"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1.24 </w:t>
            </w:r>
          </w:p>
        </w:tc>
        <w:tc>
          <w:tcPr>
            <w:tcW w:w="992"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3.14 </w:t>
            </w:r>
          </w:p>
        </w:tc>
        <w:tc>
          <w:tcPr>
            <w:tcW w:w="1134"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1.18 </w:t>
            </w:r>
          </w:p>
        </w:tc>
        <w:tc>
          <w:tcPr>
            <w:tcW w:w="851"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1.00 </w:t>
            </w:r>
          </w:p>
        </w:tc>
        <w:tc>
          <w:tcPr>
            <w:tcW w:w="850"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1.03 </w:t>
            </w:r>
          </w:p>
        </w:tc>
        <w:tc>
          <w:tcPr>
            <w:tcW w:w="851"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0.99 </w:t>
            </w:r>
          </w:p>
        </w:tc>
      </w:tr>
      <w:tr w:rsidR="00051959" w:rsidRPr="007E7B0C" w:rsidTr="00EA29EC">
        <w:trPr>
          <w:trHeight w:val="288"/>
        </w:trPr>
        <w:tc>
          <w:tcPr>
            <w:tcW w:w="860" w:type="dxa"/>
            <w:vMerge/>
            <w:tcBorders>
              <w:top w:val="nil"/>
              <w:left w:val="nil"/>
              <w:bottom w:val="nil"/>
              <w:right w:val="nil"/>
            </w:tcBorders>
            <w:vAlign w:val="center"/>
            <w:hideMark/>
          </w:tcPr>
          <w:p w:rsidR="00051959" w:rsidRPr="007E7B0C" w:rsidRDefault="00051959" w:rsidP="007E7B0C">
            <w:pPr>
              <w:widowControl/>
              <w:jc w:val="left"/>
              <w:rPr>
                <w:color w:val="000000"/>
                <w:kern w:val="0"/>
                <w:szCs w:val="21"/>
              </w:rPr>
            </w:pPr>
          </w:p>
        </w:tc>
        <w:tc>
          <w:tcPr>
            <w:tcW w:w="722"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2010</w:t>
            </w:r>
          </w:p>
        </w:tc>
        <w:tc>
          <w:tcPr>
            <w:tcW w:w="979"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1.60 </w:t>
            </w:r>
          </w:p>
        </w:tc>
        <w:tc>
          <w:tcPr>
            <w:tcW w:w="1228"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1.20 </w:t>
            </w:r>
          </w:p>
        </w:tc>
        <w:tc>
          <w:tcPr>
            <w:tcW w:w="992"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2.55 </w:t>
            </w:r>
          </w:p>
        </w:tc>
        <w:tc>
          <w:tcPr>
            <w:tcW w:w="1134"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1.28 </w:t>
            </w:r>
          </w:p>
        </w:tc>
        <w:tc>
          <w:tcPr>
            <w:tcW w:w="851"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0.94 </w:t>
            </w:r>
          </w:p>
        </w:tc>
        <w:tc>
          <w:tcPr>
            <w:tcW w:w="850"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1.08 </w:t>
            </w:r>
          </w:p>
        </w:tc>
        <w:tc>
          <w:tcPr>
            <w:tcW w:w="851"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1.03 </w:t>
            </w:r>
          </w:p>
        </w:tc>
      </w:tr>
      <w:tr w:rsidR="00051959" w:rsidRPr="007E7B0C" w:rsidTr="00EA29EC">
        <w:trPr>
          <w:trHeight w:val="288"/>
        </w:trPr>
        <w:tc>
          <w:tcPr>
            <w:tcW w:w="860" w:type="dxa"/>
            <w:vMerge/>
            <w:tcBorders>
              <w:top w:val="nil"/>
              <w:left w:val="nil"/>
              <w:bottom w:val="nil"/>
              <w:right w:val="nil"/>
            </w:tcBorders>
            <w:vAlign w:val="center"/>
            <w:hideMark/>
          </w:tcPr>
          <w:p w:rsidR="00051959" w:rsidRPr="007E7B0C" w:rsidRDefault="00051959" w:rsidP="007E7B0C">
            <w:pPr>
              <w:widowControl/>
              <w:jc w:val="left"/>
              <w:rPr>
                <w:color w:val="000000"/>
                <w:kern w:val="0"/>
                <w:szCs w:val="21"/>
              </w:rPr>
            </w:pPr>
          </w:p>
        </w:tc>
        <w:tc>
          <w:tcPr>
            <w:tcW w:w="722"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2011</w:t>
            </w:r>
          </w:p>
        </w:tc>
        <w:tc>
          <w:tcPr>
            <w:tcW w:w="979"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1.61 </w:t>
            </w:r>
          </w:p>
        </w:tc>
        <w:tc>
          <w:tcPr>
            <w:tcW w:w="1228"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1.27 </w:t>
            </w:r>
          </w:p>
        </w:tc>
        <w:tc>
          <w:tcPr>
            <w:tcW w:w="992"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0.61 </w:t>
            </w:r>
          </w:p>
        </w:tc>
        <w:tc>
          <w:tcPr>
            <w:tcW w:w="1134"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0.98 </w:t>
            </w:r>
          </w:p>
        </w:tc>
        <w:tc>
          <w:tcPr>
            <w:tcW w:w="851"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0.88 </w:t>
            </w:r>
          </w:p>
        </w:tc>
        <w:tc>
          <w:tcPr>
            <w:tcW w:w="850"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1.09 </w:t>
            </w:r>
          </w:p>
        </w:tc>
        <w:tc>
          <w:tcPr>
            <w:tcW w:w="851"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1.07 </w:t>
            </w:r>
          </w:p>
        </w:tc>
      </w:tr>
      <w:tr w:rsidR="00051959" w:rsidRPr="007E7B0C" w:rsidTr="00EA29EC">
        <w:trPr>
          <w:trHeight w:val="288"/>
        </w:trPr>
        <w:tc>
          <w:tcPr>
            <w:tcW w:w="860" w:type="dxa"/>
            <w:vMerge/>
            <w:tcBorders>
              <w:top w:val="nil"/>
              <w:left w:val="nil"/>
              <w:bottom w:val="nil"/>
              <w:right w:val="nil"/>
            </w:tcBorders>
            <w:vAlign w:val="center"/>
            <w:hideMark/>
          </w:tcPr>
          <w:p w:rsidR="00051959" w:rsidRPr="007E7B0C" w:rsidRDefault="00051959" w:rsidP="007E7B0C">
            <w:pPr>
              <w:widowControl/>
              <w:jc w:val="left"/>
              <w:rPr>
                <w:color w:val="000000"/>
                <w:kern w:val="0"/>
                <w:szCs w:val="21"/>
              </w:rPr>
            </w:pPr>
          </w:p>
        </w:tc>
        <w:tc>
          <w:tcPr>
            <w:tcW w:w="722"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2012</w:t>
            </w:r>
          </w:p>
        </w:tc>
        <w:tc>
          <w:tcPr>
            <w:tcW w:w="979"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1.67 </w:t>
            </w:r>
          </w:p>
        </w:tc>
        <w:tc>
          <w:tcPr>
            <w:tcW w:w="1228"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1.16 </w:t>
            </w:r>
          </w:p>
        </w:tc>
        <w:tc>
          <w:tcPr>
            <w:tcW w:w="992"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2.61 </w:t>
            </w:r>
          </w:p>
        </w:tc>
        <w:tc>
          <w:tcPr>
            <w:tcW w:w="1134"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1.18 </w:t>
            </w:r>
          </w:p>
        </w:tc>
        <w:tc>
          <w:tcPr>
            <w:tcW w:w="851"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0.71 </w:t>
            </w:r>
          </w:p>
        </w:tc>
        <w:tc>
          <w:tcPr>
            <w:tcW w:w="850"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1.06 </w:t>
            </w:r>
          </w:p>
        </w:tc>
        <w:tc>
          <w:tcPr>
            <w:tcW w:w="851"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1.23 </w:t>
            </w:r>
          </w:p>
        </w:tc>
      </w:tr>
      <w:tr w:rsidR="00051959" w:rsidRPr="007E7B0C" w:rsidTr="00EA29EC">
        <w:trPr>
          <w:trHeight w:val="288"/>
        </w:trPr>
        <w:tc>
          <w:tcPr>
            <w:tcW w:w="860" w:type="dxa"/>
            <w:vMerge/>
            <w:tcBorders>
              <w:top w:val="nil"/>
              <w:left w:val="nil"/>
              <w:bottom w:val="nil"/>
              <w:right w:val="nil"/>
            </w:tcBorders>
            <w:vAlign w:val="center"/>
            <w:hideMark/>
          </w:tcPr>
          <w:p w:rsidR="00051959" w:rsidRPr="007E7B0C" w:rsidRDefault="00051959" w:rsidP="007E7B0C">
            <w:pPr>
              <w:widowControl/>
              <w:jc w:val="left"/>
              <w:rPr>
                <w:color w:val="000000"/>
                <w:kern w:val="0"/>
                <w:szCs w:val="21"/>
              </w:rPr>
            </w:pPr>
          </w:p>
        </w:tc>
        <w:tc>
          <w:tcPr>
            <w:tcW w:w="722"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2013</w:t>
            </w:r>
          </w:p>
        </w:tc>
        <w:tc>
          <w:tcPr>
            <w:tcW w:w="979"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1.53 </w:t>
            </w:r>
          </w:p>
        </w:tc>
        <w:tc>
          <w:tcPr>
            <w:tcW w:w="1228"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1.04 </w:t>
            </w:r>
          </w:p>
        </w:tc>
        <w:tc>
          <w:tcPr>
            <w:tcW w:w="992"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2.07 </w:t>
            </w:r>
          </w:p>
        </w:tc>
        <w:tc>
          <w:tcPr>
            <w:tcW w:w="1134"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1.64 </w:t>
            </w:r>
          </w:p>
        </w:tc>
        <w:tc>
          <w:tcPr>
            <w:tcW w:w="851"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0.67 </w:t>
            </w:r>
          </w:p>
        </w:tc>
        <w:tc>
          <w:tcPr>
            <w:tcW w:w="850"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1.03 </w:t>
            </w:r>
          </w:p>
        </w:tc>
        <w:tc>
          <w:tcPr>
            <w:tcW w:w="851"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1.17 </w:t>
            </w:r>
          </w:p>
        </w:tc>
      </w:tr>
      <w:tr w:rsidR="00051959" w:rsidRPr="007E7B0C" w:rsidTr="00EA29EC">
        <w:trPr>
          <w:trHeight w:val="288"/>
        </w:trPr>
        <w:tc>
          <w:tcPr>
            <w:tcW w:w="860" w:type="dxa"/>
            <w:vMerge/>
            <w:tcBorders>
              <w:top w:val="nil"/>
              <w:left w:val="nil"/>
              <w:bottom w:val="nil"/>
              <w:right w:val="nil"/>
            </w:tcBorders>
            <w:vAlign w:val="center"/>
            <w:hideMark/>
          </w:tcPr>
          <w:p w:rsidR="00051959" w:rsidRPr="007E7B0C" w:rsidRDefault="00051959" w:rsidP="007E7B0C">
            <w:pPr>
              <w:widowControl/>
              <w:jc w:val="left"/>
              <w:rPr>
                <w:color w:val="000000"/>
                <w:kern w:val="0"/>
                <w:szCs w:val="21"/>
              </w:rPr>
            </w:pPr>
          </w:p>
        </w:tc>
        <w:tc>
          <w:tcPr>
            <w:tcW w:w="722"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2014</w:t>
            </w:r>
          </w:p>
        </w:tc>
        <w:tc>
          <w:tcPr>
            <w:tcW w:w="979"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1.33 </w:t>
            </w:r>
          </w:p>
        </w:tc>
        <w:tc>
          <w:tcPr>
            <w:tcW w:w="1228"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0.97 </w:t>
            </w:r>
          </w:p>
        </w:tc>
        <w:tc>
          <w:tcPr>
            <w:tcW w:w="992"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1.46 </w:t>
            </w:r>
          </w:p>
        </w:tc>
        <w:tc>
          <w:tcPr>
            <w:tcW w:w="1134"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1.52 </w:t>
            </w:r>
          </w:p>
        </w:tc>
        <w:tc>
          <w:tcPr>
            <w:tcW w:w="851"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0.70 </w:t>
            </w:r>
          </w:p>
        </w:tc>
        <w:tc>
          <w:tcPr>
            <w:tcW w:w="850"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1.06 </w:t>
            </w:r>
          </w:p>
        </w:tc>
        <w:tc>
          <w:tcPr>
            <w:tcW w:w="851"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1.27 </w:t>
            </w:r>
          </w:p>
        </w:tc>
      </w:tr>
      <w:tr w:rsidR="00051959" w:rsidRPr="007E7B0C" w:rsidTr="00EA29EC">
        <w:trPr>
          <w:trHeight w:val="288"/>
        </w:trPr>
        <w:tc>
          <w:tcPr>
            <w:tcW w:w="860" w:type="dxa"/>
            <w:vMerge/>
            <w:tcBorders>
              <w:top w:val="nil"/>
              <w:left w:val="nil"/>
              <w:bottom w:val="nil"/>
              <w:right w:val="nil"/>
            </w:tcBorders>
            <w:vAlign w:val="center"/>
            <w:hideMark/>
          </w:tcPr>
          <w:p w:rsidR="00051959" w:rsidRPr="007E7B0C" w:rsidRDefault="00051959" w:rsidP="007E7B0C">
            <w:pPr>
              <w:widowControl/>
              <w:jc w:val="left"/>
              <w:rPr>
                <w:color w:val="000000"/>
                <w:kern w:val="0"/>
                <w:szCs w:val="21"/>
              </w:rPr>
            </w:pPr>
          </w:p>
        </w:tc>
        <w:tc>
          <w:tcPr>
            <w:tcW w:w="722"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2015</w:t>
            </w:r>
          </w:p>
        </w:tc>
        <w:tc>
          <w:tcPr>
            <w:tcW w:w="979"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1.20 </w:t>
            </w:r>
          </w:p>
        </w:tc>
        <w:tc>
          <w:tcPr>
            <w:tcW w:w="1228"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1.04 </w:t>
            </w:r>
          </w:p>
        </w:tc>
        <w:tc>
          <w:tcPr>
            <w:tcW w:w="992"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1.49 </w:t>
            </w:r>
          </w:p>
        </w:tc>
        <w:tc>
          <w:tcPr>
            <w:tcW w:w="1134"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1.34 </w:t>
            </w:r>
          </w:p>
        </w:tc>
        <w:tc>
          <w:tcPr>
            <w:tcW w:w="851"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0.73 </w:t>
            </w:r>
          </w:p>
        </w:tc>
        <w:tc>
          <w:tcPr>
            <w:tcW w:w="850"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1.09 </w:t>
            </w:r>
          </w:p>
        </w:tc>
        <w:tc>
          <w:tcPr>
            <w:tcW w:w="851" w:type="dxa"/>
            <w:tcBorders>
              <w:top w:val="nil"/>
              <w:left w:val="nil"/>
              <w:bottom w:val="nil"/>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1.34 </w:t>
            </w:r>
          </w:p>
        </w:tc>
      </w:tr>
      <w:tr w:rsidR="00051959" w:rsidRPr="007E7B0C" w:rsidTr="00EA29EC">
        <w:trPr>
          <w:trHeight w:val="288"/>
        </w:trPr>
        <w:tc>
          <w:tcPr>
            <w:tcW w:w="860" w:type="dxa"/>
            <w:vMerge/>
            <w:tcBorders>
              <w:top w:val="nil"/>
              <w:left w:val="nil"/>
              <w:bottom w:val="single" w:sz="12" w:space="0" w:color="auto"/>
              <w:right w:val="nil"/>
            </w:tcBorders>
            <w:vAlign w:val="center"/>
            <w:hideMark/>
          </w:tcPr>
          <w:p w:rsidR="00051959" w:rsidRPr="007E7B0C" w:rsidRDefault="00051959" w:rsidP="007E7B0C">
            <w:pPr>
              <w:widowControl/>
              <w:jc w:val="left"/>
              <w:rPr>
                <w:color w:val="000000"/>
                <w:kern w:val="0"/>
                <w:szCs w:val="21"/>
              </w:rPr>
            </w:pPr>
          </w:p>
        </w:tc>
        <w:tc>
          <w:tcPr>
            <w:tcW w:w="722" w:type="dxa"/>
            <w:tcBorders>
              <w:top w:val="nil"/>
              <w:left w:val="nil"/>
              <w:bottom w:val="single" w:sz="12" w:space="0" w:color="auto"/>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2016</w:t>
            </w:r>
          </w:p>
        </w:tc>
        <w:tc>
          <w:tcPr>
            <w:tcW w:w="979" w:type="dxa"/>
            <w:tcBorders>
              <w:top w:val="nil"/>
              <w:left w:val="nil"/>
              <w:bottom w:val="single" w:sz="12" w:space="0" w:color="auto"/>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1.14 </w:t>
            </w:r>
          </w:p>
        </w:tc>
        <w:tc>
          <w:tcPr>
            <w:tcW w:w="1228" w:type="dxa"/>
            <w:tcBorders>
              <w:top w:val="nil"/>
              <w:left w:val="nil"/>
              <w:bottom w:val="single" w:sz="12" w:space="0" w:color="auto"/>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1.73 </w:t>
            </w:r>
          </w:p>
        </w:tc>
        <w:tc>
          <w:tcPr>
            <w:tcW w:w="992" w:type="dxa"/>
            <w:tcBorders>
              <w:top w:val="nil"/>
              <w:left w:val="nil"/>
              <w:bottom w:val="single" w:sz="12" w:space="0" w:color="auto"/>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1.12 </w:t>
            </w:r>
          </w:p>
        </w:tc>
        <w:tc>
          <w:tcPr>
            <w:tcW w:w="1134" w:type="dxa"/>
            <w:tcBorders>
              <w:top w:val="nil"/>
              <w:left w:val="nil"/>
              <w:bottom w:val="single" w:sz="12" w:space="0" w:color="auto"/>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1.50 </w:t>
            </w:r>
          </w:p>
        </w:tc>
        <w:tc>
          <w:tcPr>
            <w:tcW w:w="851" w:type="dxa"/>
            <w:tcBorders>
              <w:top w:val="nil"/>
              <w:left w:val="nil"/>
              <w:bottom w:val="single" w:sz="12" w:space="0" w:color="auto"/>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0.84 </w:t>
            </w:r>
          </w:p>
        </w:tc>
        <w:tc>
          <w:tcPr>
            <w:tcW w:w="850" w:type="dxa"/>
            <w:tcBorders>
              <w:top w:val="nil"/>
              <w:left w:val="nil"/>
              <w:bottom w:val="single" w:sz="12" w:space="0" w:color="auto"/>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1.29 </w:t>
            </w:r>
          </w:p>
        </w:tc>
        <w:tc>
          <w:tcPr>
            <w:tcW w:w="851" w:type="dxa"/>
            <w:tcBorders>
              <w:top w:val="nil"/>
              <w:left w:val="nil"/>
              <w:bottom w:val="single" w:sz="12" w:space="0" w:color="auto"/>
              <w:right w:val="nil"/>
            </w:tcBorders>
            <w:shd w:val="clear" w:color="auto" w:fill="auto"/>
            <w:noWrap/>
            <w:vAlign w:val="center"/>
            <w:hideMark/>
          </w:tcPr>
          <w:p w:rsidR="00051959" w:rsidRPr="007E7B0C" w:rsidRDefault="00051959" w:rsidP="007E7B0C">
            <w:pPr>
              <w:widowControl/>
              <w:jc w:val="center"/>
              <w:rPr>
                <w:color w:val="000000"/>
                <w:kern w:val="0"/>
                <w:szCs w:val="21"/>
              </w:rPr>
            </w:pPr>
            <w:r w:rsidRPr="007E7B0C">
              <w:rPr>
                <w:color w:val="000000"/>
                <w:kern w:val="0"/>
                <w:szCs w:val="21"/>
              </w:rPr>
              <w:t xml:space="preserve">1.50 </w:t>
            </w:r>
          </w:p>
        </w:tc>
      </w:tr>
    </w:tbl>
    <w:p w:rsidR="00051959" w:rsidRDefault="00051959" w:rsidP="004C3A46">
      <w:pPr>
        <w:ind w:firstLine="420"/>
        <w:rPr>
          <w:rFonts w:ascii="宋体" w:hAnsi="宋体"/>
          <w:sz w:val="24"/>
        </w:rPr>
      </w:pPr>
    </w:p>
    <w:p w:rsidR="00051959" w:rsidRPr="00A425C1" w:rsidRDefault="00051959" w:rsidP="009B2504">
      <w:pPr>
        <w:ind w:firstLine="420"/>
        <w:rPr>
          <w:rFonts w:ascii="宋体" w:hAnsi="宋体"/>
          <w:szCs w:val="21"/>
        </w:rPr>
      </w:pPr>
    </w:p>
    <w:p w:rsidR="00051959" w:rsidRPr="00A425C1" w:rsidRDefault="00051959" w:rsidP="009B2504">
      <w:pPr>
        <w:ind w:firstLine="420"/>
        <w:rPr>
          <w:rFonts w:ascii="宋体" w:hAnsi="宋体"/>
          <w:szCs w:val="21"/>
        </w:rPr>
      </w:pPr>
      <w:r w:rsidRPr="00A425C1">
        <w:rPr>
          <w:rFonts w:ascii="宋体" w:hAnsi="宋体" w:hint="eastAsia"/>
          <w:szCs w:val="21"/>
        </w:rPr>
        <w:t>第二阶段面板</w:t>
      </w:r>
      <w:proofErr w:type="spellStart"/>
      <w:r w:rsidRPr="00A425C1">
        <w:rPr>
          <w:rFonts w:ascii="宋体" w:hAnsi="宋体" w:hint="eastAsia"/>
          <w:szCs w:val="21"/>
        </w:rPr>
        <w:t>Tobit</w:t>
      </w:r>
      <w:proofErr w:type="spellEnd"/>
      <w:r w:rsidRPr="00A425C1">
        <w:rPr>
          <w:rFonts w:ascii="宋体" w:hAnsi="宋体" w:hint="eastAsia"/>
          <w:szCs w:val="21"/>
        </w:rPr>
        <w:t>模型中的输入变量包括10个，全部来自《世界银行营商环境报告》。对于营商环境中的每一个变量，世界银行是采取调查问卷的方式从多个方面获取数据的，每一个变量包含的各个分项指标是有单位的。如开办企业包含需要的手续数量（个数）、需要的时间（天数）、成本（占人均收入的比例）以及最小资本要求（占人均收入的比例），然而这些分项指标最后会被转化成一个总的得分</w:t>
      </w:r>
      <w:r w:rsidRPr="00A425C1">
        <w:rPr>
          <w:rStyle w:val="a8"/>
          <w:rFonts w:ascii="宋体" w:hAnsi="宋体"/>
          <w:szCs w:val="21"/>
        </w:rPr>
        <w:footnoteReference w:id="13"/>
      </w:r>
      <w:r w:rsidRPr="00A425C1">
        <w:rPr>
          <w:rFonts w:ascii="宋体" w:hAnsi="宋体" w:hint="eastAsia"/>
          <w:szCs w:val="21"/>
        </w:rPr>
        <w:t>。由于我们关注这10个变量对投资效率的影响，所以取这各个国家各年这10个变量的得分进入模型计算。表3展示了上海合作组织国家在《世界银行营商环境报告》10个分项的得分情况。因变量技术效率是由第一阶段DEA模型给出的计算结果，由于2017年的《营商报告》采集的是2016年的数据，因此自变量中来自2017《营商报告》的数据与因变量中2016年的数据进行对应。</w:t>
      </w:r>
    </w:p>
    <w:p w:rsidR="00051959" w:rsidRDefault="00051959" w:rsidP="009B2504">
      <w:pPr>
        <w:ind w:firstLine="420"/>
        <w:rPr>
          <w:rFonts w:ascii="宋体" w:hAnsi="宋体"/>
          <w:sz w:val="24"/>
        </w:rPr>
      </w:pPr>
    </w:p>
    <w:p w:rsidR="00051959" w:rsidRDefault="00051959" w:rsidP="00781506">
      <w:pPr>
        <w:ind w:firstLine="420"/>
        <w:jc w:val="center"/>
        <w:rPr>
          <w:rFonts w:ascii="宋体" w:hAnsi="宋体"/>
          <w:sz w:val="24"/>
        </w:rPr>
      </w:pPr>
      <w:r>
        <w:rPr>
          <w:rFonts w:ascii="宋体" w:hAnsi="宋体" w:hint="eastAsia"/>
          <w:sz w:val="24"/>
        </w:rPr>
        <w:t>表3  面板</w:t>
      </w:r>
      <w:proofErr w:type="spellStart"/>
      <w:r>
        <w:rPr>
          <w:rFonts w:ascii="宋体" w:hAnsi="宋体" w:hint="eastAsia"/>
          <w:sz w:val="24"/>
        </w:rPr>
        <w:t>Tobit</w:t>
      </w:r>
      <w:proofErr w:type="spellEnd"/>
      <w:r>
        <w:rPr>
          <w:rFonts w:ascii="宋体" w:hAnsi="宋体" w:hint="eastAsia"/>
          <w:sz w:val="24"/>
        </w:rPr>
        <w:t>模型中各国营商环境得分</w:t>
      </w:r>
    </w:p>
    <w:tbl>
      <w:tblPr>
        <w:tblW w:w="0" w:type="auto"/>
        <w:tblInd w:w="108" w:type="dxa"/>
        <w:tblBorders>
          <w:top w:val="single" w:sz="12" w:space="0" w:color="auto"/>
          <w:bottom w:val="single" w:sz="12" w:space="0" w:color="auto"/>
        </w:tblBorders>
        <w:tblLook w:val="04A0"/>
      </w:tblPr>
      <w:tblGrid>
        <w:gridCol w:w="636"/>
        <w:gridCol w:w="636"/>
        <w:gridCol w:w="689"/>
        <w:gridCol w:w="689"/>
        <w:gridCol w:w="689"/>
        <w:gridCol w:w="689"/>
        <w:gridCol w:w="689"/>
        <w:gridCol w:w="846"/>
        <w:gridCol w:w="689"/>
        <w:gridCol w:w="689"/>
        <w:gridCol w:w="689"/>
        <w:gridCol w:w="689"/>
      </w:tblGrid>
      <w:tr w:rsidR="00051959" w:rsidRPr="00345A6D" w:rsidTr="0016650D">
        <w:trPr>
          <w:trHeight w:val="288"/>
        </w:trPr>
        <w:tc>
          <w:tcPr>
            <w:tcW w:w="0" w:type="auto"/>
            <w:tcBorders>
              <w:top w:val="single" w:sz="12" w:space="0" w:color="auto"/>
              <w:bottom w:val="single" w:sz="1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Pr>
                <w:rFonts w:hAnsi="宋体" w:hint="eastAsia"/>
                <w:color w:val="000000"/>
                <w:kern w:val="0"/>
                <w:szCs w:val="21"/>
              </w:rPr>
              <w:t>国家</w:t>
            </w:r>
          </w:p>
        </w:tc>
        <w:tc>
          <w:tcPr>
            <w:tcW w:w="0" w:type="auto"/>
            <w:tcBorders>
              <w:top w:val="single" w:sz="12" w:space="0" w:color="auto"/>
              <w:bottom w:val="single" w:sz="1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Pr>
                <w:rFonts w:hAnsi="宋体" w:hint="eastAsia"/>
                <w:color w:val="000000"/>
                <w:kern w:val="0"/>
                <w:szCs w:val="21"/>
              </w:rPr>
              <w:t>年份</w:t>
            </w:r>
          </w:p>
        </w:tc>
        <w:tc>
          <w:tcPr>
            <w:tcW w:w="0" w:type="auto"/>
            <w:tcBorders>
              <w:top w:val="single" w:sz="12" w:space="0" w:color="auto"/>
              <w:bottom w:val="single" w:sz="12" w:space="0" w:color="auto"/>
            </w:tcBorders>
            <w:shd w:val="clear" w:color="auto" w:fill="auto"/>
            <w:noWrap/>
            <w:vAlign w:val="center"/>
            <w:hideMark/>
          </w:tcPr>
          <w:p w:rsidR="00051959" w:rsidRDefault="00051959" w:rsidP="00345A6D">
            <w:pPr>
              <w:widowControl/>
              <w:jc w:val="center"/>
              <w:rPr>
                <w:rFonts w:hAnsi="宋体"/>
                <w:color w:val="000000"/>
                <w:kern w:val="0"/>
                <w:szCs w:val="21"/>
              </w:rPr>
            </w:pPr>
            <w:r>
              <w:rPr>
                <w:rFonts w:hAnsi="宋体" w:hint="eastAsia"/>
                <w:color w:val="000000"/>
                <w:kern w:val="0"/>
                <w:szCs w:val="21"/>
              </w:rPr>
              <w:t>开办</w:t>
            </w:r>
          </w:p>
          <w:p w:rsidR="00051959" w:rsidRPr="00345A6D" w:rsidRDefault="00051959" w:rsidP="00345A6D">
            <w:pPr>
              <w:widowControl/>
              <w:jc w:val="center"/>
              <w:rPr>
                <w:rFonts w:hAnsi="宋体"/>
                <w:color w:val="000000"/>
                <w:kern w:val="0"/>
                <w:szCs w:val="21"/>
              </w:rPr>
            </w:pPr>
            <w:r>
              <w:rPr>
                <w:rFonts w:hAnsi="宋体" w:hint="eastAsia"/>
                <w:color w:val="000000"/>
                <w:kern w:val="0"/>
                <w:szCs w:val="21"/>
              </w:rPr>
              <w:t>企业</w:t>
            </w:r>
          </w:p>
        </w:tc>
        <w:tc>
          <w:tcPr>
            <w:tcW w:w="0" w:type="auto"/>
            <w:tcBorders>
              <w:top w:val="single" w:sz="12" w:space="0" w:color="auto"/>
              <w:bottom w:val="single" w:sz="12" w:space="0" w:color="auto"/>
            </w:tcBorders>
            <w:shd w:val="clear" w:color="auto" w:fill="auto"/>
            <w:noWrap/>
            <w:vAlign w:val="center"/>
            <w:hideMark/>
          </w:tcPr>
          <w:p w:rsidR="00051959" w:rsidRDefault="00051959" w:rsidP="00345A6D">
            <w:pPr>
              <w:widowControl/>
              <w:jc w:val="center"/>
              <w:rPr>
                <w:rFonts w:hAnsi="宋体"/>
                <w:color w:val="000000"/>
                <w:kern w:val="0"/>
                <w:szCs w:val="21"/>
              </w:rPr>
            </w:pPr>
            <w:r>
              <w:rPr>
                <w:rFonts w:hAnsi="宋体" w:hint="eastAsia"/>
                <w:color w:val="000000"/>
                <w:kern w:val="0"/>
                <w:szCs w:val="21"/>
              </w:rPr>
              <w:t>获得</w:t>
            </w:r>
          </w:p>
          <w:p w:rsidR="00051959" w:rsidRDefault="00051959" w:rsidP="00345A6D">
            <w:pPr>
              <w:widowControl/>
              <w:jc w:val="center"/>
              <w:rPr>
                <w:rFonts w:hAnsi="宋体"/>
                <w:color w:val="000000"/>
                <w:kern w:val="0"/>
                <w:szCs w:val="21"/>
              </w:rPr>
            </w:pPr>
            <w:r>
              <w:rPr>
                <w:rFonts w:hAnsi="宋体" w:hint="eastAsia"/>
                <w:color w:val="000000"/>
                <w:kern w:val="0"/>
                <w:szCs w:val="21"/>
              </w:rPr>
              <w:t>建筑</w:t>
            </w:r>
          </w:p>
          <w:p w:rsidR="00051959" w:rsidRPr="00345A6D" w:rsidRDefault="00051959" w:rsidP="00345A6D">
            <w:pPr>
              <w:widowControl/>
              <w:jc w:val="center"/>
              <w:rPr>
                <w:rFonts w:hAnsi="宋体"/>
                <w:color w:val="000000"/>
                <w:kern w:val="0"/>
                <w:szCs w:val="21"/>
              </w:rPr>
            </w:pPr>
            <w:r>
              <w:rPr>
                <w:rFonts w:hAnsi="宋体" w:hint="eastAsia"/>
                <w:color w:val="000000"/>
                <w:kern w:val="0"/>
                <w:szCs w:val="21"/>
              </w:rPr>
              <w:t>许可</w:t>
            </w:r>
          </w:p>
        </w:tc>
        <w:tc>
          <w:tcPr>
            <w:tcW w:w="0" w:type="auto"/>
            <w:tcBorders>
              <w:top w:val="single" w:sz="12" w:space="0" w:color="auto"/>
              <w:bottom w:val="single" w:sz="12" w:space="0" w:color="auto"/>
            </w:tcBorders>
            <w:shd w:val="clear" w:color="auto" w:fill="auto"/>
            <w:noWrap/>
            <w:vAlign w:val="center"/>
            <w:hideMark/>
          </w:tcPr>
          <w:p w:rsidR="00051959" w:rsidRDefault="00051959" w:rsidP="00345A6D">
            <w:pPr>
              <w:widowControl/>
              <w:jc w:val="center"/>
              <w:rPr>
                <w:rFonts w:hAnsi="宋体"/>
                <w:color w:val="000000"/>
                <w:kern w:val="0"/>
                <w:szCs w:val="21"/>
              </w:rPr>
            </w:pPr>
            <w:r>
              <w:rPr>
                <w:rFonts w:hAnsi="宋体" w:hint="eastAsia"/>
                <w:color w:val="000000"/>
                <w:kern w:val="0"/>
                <w:szCs w:val="21"/>
              </w:rPr>
              <w:t>获得</w:t>
            </w:r>
          </w:p>
          <w:p w:rsidR="00051959" w:rsidRPr="00345A6D" w:rsidRDefault="00051959" w:rsidP="00345A6D">
            <w:pPr>
              <w:widowControl/>
              <w:jc w:val="center"/>
              <w:rPr>
                <w:rFonts w:hAnsi="宋体"/>
                <w:color w:val="000000"/>
                <w:kern w:val="0"/>
                <w:szCs w:val="21"/>
              </w:rPr>
            </w:pPr>
            <w:r>
              <w:rPr>
                <w:rFonts w:hAnsi="宋体" w:hint="eastAsia"/>
                <w:color w:val="000000"/>
                <w:kern w:val="0"/>
                <w:szCs w:val="21"/>
              </w:rPr>
              <w:t>电力</w:t>
            </w:r>
          </w:p>
        </w:tc>
        <w:tc>
          <w:tcPr>
            <w:tcW w:w="0" w:type="auto"/>
            <w:tcBorders>
              <w:top w:val="single" w:sz="12" w:space="0" w:color="auto"/>
              <w:bottom w:val="single" w:sz="12" w:space="0" w:color="auto"/>
            </w:tcBorders>
            <w:shd w:val="clear" w:color="auto" w:fill="auto"/>
            <w:noWrap/>
            <w:vAlign w:val="center"/>
            <w:hideMark/>
          </w:tcPr>
          <w:p w:rsidR="00051959" w:rsidRDefault="00051959" w:rsidP="00345A6D">
            <w:pPr>
              <w:widowControl/>
              <w:jc w:val="center"/>
              <w:rPr>
                <w:rFonts w:hAnsi="宋体"/>
                <w:color w:val="000000"/>
                <w:kern w:val="0"/>
                <w:szCs w:val="21"/>
              </w:rPr>
            </w:pPr>
            <w:r>
              <w:rPr>
                <w:rFonts w:hAnsi="宋体" w:hint="eastAsia"/>
                <w:color w:val="000000"/>
                <w:kern w:val="0"/>
                <w:szCs w:val="21"/>
              </w:rPr>
              <w:t>财产</w:t>
            </w:r>
          </w:p>
          <w:p w:rsidR="00051959" w:rsidRPr="00345A6D" w:rsidRDefault="00051959" w:rsidP="00345A6D">
            <w:pPr>
              <w:widowControl/>
              <w:jc w:val="center"/>
              <w:rPr>
                <w:rFonts w:hAnsi="宋体"/>
                <w:color w:val="000000"/>
                <w:kern w:val="0"/>
                <w:szCs w:val="21"/>
              </w:rPr>
            </w:pPr>
            <w:r>
              <w:rPr>
                <w:rFonts w:hAnsi="宋体" w:hint="eastAsia"/>
                <w:color w:val="000000"/>
                <w:kern w:val="0"/>
                <w:szCs w:val="21"/>
              </w:rPr>
              <w:t>注册</w:t>
            </w:r>
          </w:p>
        </w:tc>
        <w:tc>
          <w:tcPr>
            <w:tcW w:w="0" w:type="auto"/>
            <w:tcBorders>
              <w:top w:val="single" w:sz="12" w:space="0" w:color="auto"/>
              <w:bottom w:val="single" w:sz="12" w:space="0" w:color="auto"/>
            </w:tcBorders>
            <w:shd w:val="clear" w:color="auto" w:fill="auto"/>
            <w:noWrap/>
            <w:vAlign w:val="center"/>
            <w:hideMark/>
          </w:tcPr>
          <w:p w:rsidR="00051959" w:rsidRDefault="00051959" w:rsidP="00345A6D">
            <w:pPr>
              <w:widowControl/>
              <w:jc w:val="center"/>
              <w:rPr>
                <w:rFonts w:hAnsi="宋体"/>
                <w:color w:val="000000"/>
                <w:kern w:val="0"/>
                <w:szCs w:val="21"/>
              </w:rPr>
            </w:pPr>
            <w:r>
              <w:rPr>
                <w:rFonts w:hAnsi="宋体" w:hint="eastAsia"/>
                <w:color w:val="000000"/>
                <w:kern w:val="0"/>
                <w:szCs w:val="21"/>
              </w:rPr>
              <w:t>获得</w:t>
            </w:r>
          </w:p>
          <w:p w:rsidR="00051959" w:rsidRPr="00345A6D" w:rsidRDefault="00051959" w:rsidP="00345A6D">
            <w:pPr>
              <w:widowControl/>
              <w:jc w:val="center"/>
              <w:rPr>
                <w:rFonts w:hAnsi="宋体"/>
                <w:color w:val="000000"/>
                <w:kern w:val="0"/>
                <w:szCs w:val="21"/>
              </w:rPr>
            </w:pPr>
            <w:r>
              <w:rPr>
                <w:rFonts w:hAnsi="宋体" w:hint="eastAsia"/>
                <w:color w:val="000000"/>
                <w:kern w:val="0"/>
                <w:szCs w:val="21"/>
              </w:rPr>
              <w:t>信贷</w:t>
            </w:r>
          </w:p>
        </w:tc>
        <w:tc>
          <w:tcPr>
            <w:tcW w:w="0" w:type="auto"/>
            <w:tcBorders>
              <w:top w:val="single" w:sz="12" w:space="0" w:color="auto"/>
              <w:bottom w:val="single" w:sz="12" w:space="0" w:color="auto"/>
            </w:tcBorders>
            <w:shd w:val="clear" w:color="auto" w:fill="auto"/>
            <w:noWrap/>
            <w:vAlign w:val="center"/>
            <w:hideMark/>
          </w:tcPr>
          <w:p w:rsidR="00051959" w:rsidRDefault="00051959" w:rsidP="00345A6D">
            <w:pPr>
              <w:widowControl/>
              <w:jc w:val="center"/>
              <w:rPr>
                <w:rFonts w:hAnsi="宋体"/>
                <w:color w:val="000000"/>
                <w:kern w:val="0"/>
                <w:szCs w:val="21"/>
              </w:rPr>
            </w:pPr>
            <w:r>
              <w:rPr>
                <w:rFonts w:hAnsi="宋体" w:hint="eastAsia"/>
                <w:color w:val="000000"/>
                <w:kern w:val="0"/>
                <w:szCs w:val="21"/>
              </w:rPr>
              <w:t>投资者</w:t>
            </w:r>
          </w:p>
          <w:p w:rsidR="00051959" w:rsidRPr="00345A6D" w:rsidRDefault="00051959" w:rsidP="00345A6D">
            <w:pPr>
              <w:widowControl/>
              <w:jc w:val="center"/>
              <w:rPr>
                <w:rFonts w:hAnsi="宋体"/>
                <w:color w:val="000000"/>
                <w:kern w:val="0"/>
                <w:szCs w:val="21"/>
              </w:rPr>
            </w:pPr>
            <w:r>
              <w:rPr>
                <w:rFonts w:hAnsi="宋体" w:hint="eastAsia"/>
                <w:color w:val="000000"/>
                <w:kern w:val="0"/>
                <w:szCs w:val="21"/>
              </w:rPr>
              <w:t>保护</w:t>
            </w:r>
          </w:p>
        </w:tc>
        <w:tc>
          <w:tcPr>
            <w:tcW w:w="0" w:type="auto"/>
            <w:tcBorders>
              <w:top w:val="single" w:sz="12" w:space="0" w:color="auto"/>
              <w:bottom w:val="single" w:sz="1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Pr>
                <w:rFonts w:hAnsi="宋体" w:hint="eastAsia"/>
                <w:color w:val="000000"/>
                <w:kern w:val="0"/>
                <w:szCs w:val="21"/>
              </w:rPr>
              <w:t>税收</w:t>
            </w:r>
          </w:p>
        </w:tc>
        <w:tc>
          <w:tcPr>
            <w:tcW w:w="0" w:type="auto"/>
            <w:tcBorders>
              <w:top w:val="single" w:sz="12" w:space="0" w:color="auto"/>
              <w:bottom w:val="single" w:sz="12" w:space="0" w:color="auto"/>
            </w:tcBorders>
            <w:shd w:val="clear" w:color="auto" w:fill="auto"/>
            <w:noWrap/>
            <w:vAlign w:val="center"/>
            <w:hideMark/>
          </w:tcPr>
          <w:p w:rsidR="00051959" w:rsidRDefault="00051959" w:rsidP="00345A6D">
            <w:pPr>
              <w:widowControl/>
              <w:jc w:val="center"/>
              <w:rPr>
                <w:rFonts w:hAnsi="宋体"/>
                <w:color w:val="000000"/>
                <w:kern w:val="0"/>
                <w:szCs w:val="21"/>
              </w:rPr>
            </w:pPr>
            <w:r>
              <w:rPr>
                <w:rFonts w:hAnsi="宋体" w:hint="eastAsia"/>
                <w:color w:val="000000"/>
                <w:kern w:val="0"/>
                <w:szCs w:val="21"/>
              </w:rPr>
              <w:t>合同</w:t>
            </w:r>
          </w:p>
          <w:p w:rsidR="00051959" w:rsidRPr="00345A6D" w:rsidRDefault="00051959" w:rsidP="00345A6D">
            <w:pPr>
              <w:widowControl/>
              <w:jc w:val="center"/>
              <w:rPr>
                <w:rFonts w:hAnsi="宋体"/>
                <w:color w:val="000000"/>
                <w:kern w:val="0"/>
                <w:szCs w:val="21"/>
              </w:rPr>
            </w:pPr>
            <w:r>
              <w:rPr>
                <w:rFonts w:hAnsi="宋体" w:hint="eastAsia"/>
                <w:color w:val="000000"/>
                <w:kern w:val="0"/>
                <w:szCs w:val="21"/>
              </w:rPr>
              <w:t>执行</w:t>
            </w:r>
          </w:p>
        </w:tc>
        <w:tc>
          <w:tcPr>
            <w:tcW w:w="0" w:type="auto"/>
            <w:tcBorders>
              <w:top w:val="single" w:sz="12" w:space="0" w:color="auto"/>
              <w:bottom w:val="single" w:sz="12" w:space="0" w:color="auto"/>
            </w:tcBorders>
            <w:shd w:val="clear" w:color="auto" w:fill="auto"/>
            <w:noWrap/>
            <w:vAlign w:val="center"/>
            <w:hideMark/>
          </w:tcPr>
          <w:p w:rsidR="00051959" w:rsidRDefault="00051959" w:rsidP="00345A6D">
            <w:pPr>
              <w:widowControl/>
              <w:jc w:val="center"/>
              <w:rPr>
                <w:rFonts w:hAnsi="宋体"/>
                <w:color w:val="000000"/>
                <w:kern w:val="0"/>
                <w:szCs w:val="21"/>
              </w:rPr>
            </w:pPr>
            <w:r>
              <w:rPr>
                <w:rFonts w:hAnsi="宋体" w:hint="eastAsia"/>
                <w:color w:val="000000"/>
                <w:kern w:val="0"/>
                <w:szCs w:val="21"/>
              </w:rPr>
              <w:t>跨境</w:t>
            </w:r>
          </w:p>
          <w:p w:rsidR="00051959" w:rsidRPr="00345A6D" w:rsidRDefault="00051959" w:rsidP="00345A6D">
            <w:pPr>
              <w:widowControl/>
              <w:jc w:val="center"/>
              <w:rPr>
                <w:rFonts w:hAnsi="宋体"/>
                <w:color w:val="000000"/>
                <w:kern w:val="0"/>
                <w:szCs w:val="21"/>
              </w:rPr>
            </w:pPr>
            <w:r>
              <w:rPr>
                <w:rFonts w:hAnsi="宋体" w:hint="eastAsia"/>
                <w:color w:val="000000"/>
                <w:kern w:val="0"/>
                <w:szCs w:val="21"/>
              </w:rPr>
              <w:t>贸易</w:t>
            </w:r>
          </w:p>
        </w:tc>
        <w:tc>
          <w:tcPr>
            <w:tcW w:w="0" w:type="auto"/>
            <w:tcBorders>
              <w:top w:val="single" w:sz="12" w:space="0" w:color="auto"/>
              <w:bottom w:val="single" w:sz="12" w:space="0" w:color="auto"/>
            </w:tcBorders>
            <w:shd w:val="clear" w:color="auto" w:fill="auto"/>
            <w:noWrap/>
            <w:vAlign w:val="center"/>
            <w:hideMark/>
          </w:tcPr>
          <w:p w:rsidR="00051959" w:rsidRDefault="00051959" w:rsidP="00345A6D">
            <w:pPr>
              <w:widowControl/>
              <w:jc w:val="center"/>
              <w:rPr>
                <w:rFonts w:hAnsi="宋体"/>
                <w:color w:val="000000"/>
                <w:kern w:val="0"/>
                <w:szCs w:val="21"/>
              </w:rPr>
            </w:pPr>
            <w:r>
              <w:rPr>
                <w:rFonts w:hAnsi="宋体" w:hint="eastAsia"/>
                <w:color w:val="000000"/>
                <w:kern w:val="0"/>
                <w:szCs w:val="21"/>
              </w:rPr>
              <w:t>解决</w:t>
            </w:r>
          </w:p>
          <w:p w:rsidR="00051959" w:rsidRDefault="00051959" w:rsidP="00345A6D">
            <w:pPr>
              <w:widowControl/>
              <w:jc w:val="center"/>
              <w:rPr>
                <w:rFonts w:hAnsi="宋体"/>
                <w:color w:val="000000"/>
                <w:kern w:val="0"/>
                <w:szCs w:val="21"/>
              </w:rPr>
            </w:pPr>
            <w:r>
              <w:rPr>
                <w:rFonts w:hAnsi="宋体" w:hint="eastAsia"/>
                <w:color w:val="000000"/>
                <w:kern w:val="0"/>
                <w:szCs w:val="21"/>
              </w:rPr>
              <w:t>破产</w:t>
            </w:r>
          </w:p>
          <w:p w:rsidR="00051959" w:rsidRPr="00345A6D" w:rsidRDefault="00051959" w:rsidP="00345A6D">
            <w:pPr>
              <w:widowControl/>
              <w:jc w:val="center"/>
              <w:rPr>
                <w:rFonts w:hAnsi="宋体"/>
                <w:color w:val="000000"/>
                <w:kern w:val="0"/>
                <w:szCs w:val="21"/>
              </w:rPr>
            </w:pPr>
            <w:r>
              <w:rPr>
                <w:rFonts w:hAnsi="宋体" w:hint="eastAsia"/>
                <w:color w:val="000000"/>
                <w:kern w:val="0"/>
                <w:szCs w:val="21"/>
              </w:rPr>
              <w:t>问题</w:t>
            </w:r>
          </w:p>
        </w:tc>
      </w:tr>
      <w:tr w:rsidR="00051959" w:rsidRPr="00345A6D" w:rsidTr="0016650D">
        <w:trPr>
          <w:trHeight w:val="300"/>
        </w:trPr>
        <w:tc>
          <w:tcPr>
            <w:tcW w:w="0" w:type="auto"/>
            <w:vMerge w:val="restart"/>
            <w:tcBorders>
              <w:top w:val="single" w:sz="1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Pr>
                <w:rFonts w:hAnsi="宋体" w:hint="eastAsia"/>
                <w:color w:val="000000"/>
                <w:kern w:val="0"/>
                <w:szCs w:val="21"/>
              </w:rPr>
              <w:lastRenderedPageBreak/>
              <w:t>哈撒</w:t>
            </w:r>
          </w:p>
          <w:p w:rsidR="00051959" w:rsidRPr="00345A6D" w:rsidRDefault="00051959" w:rsidP="00345A6D">
            <w:pPr>
              <w:widowControl/>
              <w:jc w:val="center"/>
              <w:rPr>
                <w:rFonts w:hAnsi="宋体"/>
                <w:color w:val="000000"/>
                <w:kern w:val="0"/>
                <w:szCs w:val="21"/>
              </w:rPr>
            </w:pPr>
            <w:r>
              <w:rPr>
                <w:rFonts w:hAnsi="宋体" w:hint="eastAsia"/>
                <w:color w:val="000000"/>
                <w:kern w:val="0"/>
                <w:szCs w:val="21"/>
              </w:rPr>
              <w:t>克</w:t>
            </w:r>
          </w:p>
          <w:p w:rsidR="00051959" w:rsidRPr="00345A6D" w:rsidRDefault="00051959" w:rsidP="00345A6D">
            <w:pPr>
              <w:jc w:val="center"/>
              <w:rPr>
                <w:rFonts w:hAnsi="宋体"/>
                <w:color w:val="000000"/>
                <w:kern w:val="0"/>
                <w:szCs w:val="21"/>
              </w:rPr>
            </w:pPr>
            <w:r>
              <w:rPr>
                <w:rFonts w:hAnsi="宋体" w:hint="eastAsia"/>
                <w:color w:val="000000"/>
                <w:kern w:val="0"/>
                <w:szCs w:val="21"/>
              </w:rPr>
              <w:t>斯坦</w:t>
            </w:r>
          </w:p>
        </w:tc>
        <w:tc>
          <w:tcPr>
            <w:tcW w:w="0" w:type="auto"/>
            <w:tcBorders>
              <w:top w:val="single" w:sz="1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2014</w:t>
            </w:r>
          </w:p>
        </w:tc>
        <w:tc>
          <w:tcPr>
            <w:tcW w:w="0" w:type="auto"/>
            <w:tcBorders>
              <w:top w:val="single" w:sz="1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90.19</w:t>
            </w:r>
          </w:p>
        </w:tc>
        <w:tc>
          <w:tcPr>
            <w:tcW w:w="0" w:type="auto"/>
            <w:tcBorders>
              <w:top w:val="single" w:sz="1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58.39</w:t>
            </w:r>
          </w:p>
        </w:tc>
        <w:tc>
          <w:tcPr>
            <w:tcW w:w="0" w:type="auto"/>
            <w:tcBorders>
              <w:top w:val="single" w:sz="1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72.96</w:t>
            </w:r>
          </w:p>
        </w:tc>
        <w:tc>
          <w:tcPr>
            <w:tcW w:w="0" w:type="auto"/>
            <w:tcBorders>
              <w:top w:val="single" w:sz="1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89.83</w:t>
            </w:r>
          </w:p>
        </w:tc>
        <w:tc>
          <w:tcPr>
            <w:tcW w:w="0" w:type="auto"/>
            <w:tcBorders>
              <w:top w:val="single" w:sz="1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50</w:t>
            </w:r>
            <w:r>
              <w:rPr>
                <w:rFonts w:hAnsi="宋体" w:hint="eastAsia"/>
                <w:color w:val="000000"/>
                <w:kern w:val="0"/>
                <w:szCs w:val="21"/>
              </w:rPr>
              <w:t>.00</w:t>
            </w:r>
          </w:p>
        </w:tc>
        <w:tc>
          <w:tcPr>
            <w:tcW w:w="0" w:type="auto"/>
            <w:tcBorders>
              <w:top w:val="single" w:sz="1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65.83</w:t>
            </w:r>
          </w:p>
        </w:tc>
        <w:tc>
          <w:tcPr>
            <w:tcW w:w="0" w:type="auto"/>
            <w:tcBorders>
              <w:top w:val="single" w:sz="1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90.04</w:t>
            </w:r>
          </w:p>
        </w:tc>
        <w:tc>
          <w:tcPr>
            <w:tcW w:w="0" w:type="auto"/>
            <w:tcBorders>
              <w:top w:val="single" w:sz="1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69.33</w:t>
            </w:r>
          </w:p>
        </w:tc>
        <w:tc>
          <w:tcPr>
            <w:tcW w:w="0" w:type="auto"/>
            <w:tcBorders>
              <w:top w:val="single" w:sz="1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7.87</w:t>
            </w:r>
          </w:p>
        </w:tc>
        <w:tc>
          <w:tcPr>
            <w:tcW w:w="0" w:type="auto"/>
            <w:tcBorders>
              <w:top w:val="single" w:sz="1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51.45</w:t>
            </w:r>
          </w:p>
        </w:tc>
      </w:tr>
      <w:tr w:rsidR="00051959" w:rsidRPr="00345A6D" w:rsidTr="0016650D">
        <w:trPr>
          <w:trHeight w:val="354"/>
        </w:trPr>
        <w:tc>
          <w:tcPr>
            <w:tcW w:w="0" w:type="auto"/>
            <w:vMerge/>
            <w:shd w:val="clear" w:color="auto" w:fill="auto"/>
            <w:noWrap/>
            <w:vAlign w:val="center"/>
            <w:hideMark/>
          </w:tcPr>
          <w:p w:rsidR="00051959" w:rsidRPr="00345A6D" w:rsidRDefault="00051959" w:rsidP="00345A6D">
            <w:pPr>
              <w:jc w:val="center"/>
              <w:rPr>
                <w:rFonts w:hAnsi="宋体"/>
                <w:color w:val="000000"/>
                <w:kern w:val="0"/>
                <w:szCs w:val="21"/>
              </w:rPr>
            </w:pP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2015</w:t>
            </w: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94.44</w:t>
            </w: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68.38</w:t>
            </w: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70.03</w:t>
            </w: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83.17</w:t>
            </w: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55</w:t>
            </w:r>
            <w:r>
              <w:rPr>
                <w:rFonts w:hAnsi="宋体" w:hint="eastAsia"/>
                <w:color w:val="000000"/>
                <w:kern w:val="0"/>
                <w:szCs w:val="21"/>
              </w:rPr>
              <w:t>.00</w:t>
            </w: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66.67</w:t>
            </w: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89.18</w:t>
            </w: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76.62</w:t>
            </w: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60.39</w:t>
            </w: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58.97</w:t>
            </w:r>
          </w:p>
        </w:tc>
      </w:tr>
      <w:tr w:rsidR="00051959" w:rsidRPr="00345A6D" w:rsidTr="0016650D">
        <w:trPr>
          <w:trHeight w:val="334"/>
        </w:trPr>
        <w:tc>
          <w:tcPr>
            <w:tcW w:w="0" w:type="auto"/>
            <w:vMerge/>
            <w:tcBorders>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p>
        </w:tc>
        <w:tc>
          <w:tcPr>
            <w:tcW w:w="0" w:type="auto"/>
            <w:tcBorders>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2016</w:t>
            </w:r>
          </w:p>
        </w:tc>
        <w:tc>
          <w:tcPr>
            <w:tcW w:w="0" w:type="auto"/>
            <w:tcBorders>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91.94</w:t>
            </w:r>
          </w:p>
        </w:tc>
        <w:tc>
          <w:tcPr>
            <w:tcW w:w="0" w:type="auto"/>
            <w:tcBorders>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79.05</w:t>
            </w:r>
          </w:p>
        </w:tc>
        <w:tc>
          <w:tcPr>
            <w:tcW w:w="0" w:type="auto"/>
            <w:tcBorders>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73.64</w:t>
            </w:r>
          </w:p>
        </w:tc>
        <w:tc>
          <w:tcPr>
            <w:tcW w:w="0" w:type="auto"/>
            <w:tcBorders>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83.72</w:t>
            </w:r>
          </w:p>
        </w:tc>
        <w:tc>
          <w:tcPr>
            <w:tcW w:w="0" w:type="auto"/>
            <w:tcBorders>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55</w:t>
            </w:r>
            <w:r>
              <w:rPr>
                <w:rFonts w:hAnsi="宋体" w:hint="eastAsia"/>
                <w:color w:val="000000"/>
                <w:kern w:val="0"/>
                <w:szCs w:val="21"/>
              </w:rPr>
              <w:t>.00</w:t>
            </w:r>
          </w:p>
        </w:tc>
        <w:tc>
          <w:tcPr>
            <w:tcW w:w="0" w:type="auto"/>
            <w:tcBorders>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80</w:t>
            </w:r>
            <w:r>
              <w:rPr>
                <w:rFonts w:hAnsi="宋体" w:hint="eastAsia"/>
                <w:color w:val="000000"/>
                <w:kern w:val="0"/>
                <w:szCs w:val="21"/>
              </w:rPr>
              <w:t>.00</w:t>
            </w:r>
          </w:p>
        </w:tc>
        <w:tc>
          <w:tcPr>
            <w:tcW w:w="0" w:type="auto"/>
            <w:tcBorders>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79.54</w:t>
            </w:r>
          </w:p>
        </w:tc>
        <w:tc>
          <w:tcPr>
            <w:tcW w:w="0" w:type="auto"/>
            <w:tcBorders>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75.7</w:t>
            </w:r>
          </w:p>
        </w:tc>
        <w:tc>
          <w:tcPr>
            <w:tcW w:w="0" w:type="auto"/>
            <w:tcBorders>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63.19</w:t>
            </w:r>
          </w:p>
        </w:tc>
        <w:tc>
          <w:tcPr>
            <w:tcW w:w="0" w:type="auto"/>
            <w:tcBorders>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69.17</w:t>
            </w:r>
          </w:p>
        </w:tc>
      </w:tr>
      <w:tr w:rsidR="00051959" w:rsidRPr="00345A6D" w:rsidTr="0016650D">
        <w:trPr>
          <w:trHeight w:val="288"/>
        </w:trPr>
        <w:tc>
          <w:tcPr>
            <w:tcW w:w="0" w:type="auto"/>
            <w:vMerge w:val="restart"/>
            <w:tcBorders>
              <w:top w:val="single" w:sz="2" w:space="0" w:color="auto"/>
              <w:bottom w:val="nil"/>
            </w:tcBorders>
            <w:shd w:val="clear" w:color="auto" w:fill="auto"/>
            <w:noWrap/>
            <w:vAlign w:val="center"/>
            <w:hideMark/>
          </w:tcPr>
          <w:p w:rsidR="00051959" w:rsidRDefault="00051959" w:rsidP="00345A6D">
            <w:pPr>
              <w:widowControl/>
              <w:jc w:val="center"/>
              <w:rPr>
                <w:rFonts w:hAnsi="宋体"/>
                <w:color w:val="000000"/>
                <w:kern w:val="0"/>
                <w:szCs w:val="21"/>
              </w:rPr>
            </w:pPr>
            <w:r>
              <w:rPr>
                <w:rFonts w:hAnsi="宋体" w:hint="eastAsia"/>
                <w:color w:val="000000"/>
                <w:kern w:val="0"/>
                <w:szCs w:val="21"/>
              </w:rPr>
              <w:t>吉尔</w:t>
            </w:r>
          </w:p>
          <w:p w:rsidR="00051959" w:rsidRDefault="00051959" w:rsidP="00345A6D">
            <w:pPr>
              <w:widowControl/>
              <w:jc w:val="center"/>
              <w:rPr>
                <w:rFonts w:hAnsi="宋体"/>
                <w:color w:val="000000"/>
                <w:kern w:val="0"/>
                <w:szCs w:val="21"/>
              </w:rPr>
            </w:pPr>
            <w:r>
              <w:rPr>
                <w:rFonts w:hAnsi="宋体" w:hint="eastAsia"/>
                <w:color w:val="000000"/>
                <w:kern w:val="0"/>
                <w:szCs w:val="21"/>
              </w:rPr>
              <w:t>吉斯</w:t>
            </w:r>
          </w:p>
          <w:p w:rsidR="00051959" w:rsidRPr="00345A6D" w:rsidRDefault="00051959" w:rsidP="0016650D">
            <w:pPr>
              <w:widowControl/>
              <w:jc w:val="center"/>
              <w:rPr>
                <w:rFonts w:hAnsi="宋体"/>
                <w:color w:val="000000"/>
                <w:kern w:val="0"/>
                <w:szCs w:val="21"/>
              </w:rPr>
            </w:pPr>
            <w:r>
              <w:rPr>
                <w:rFonts w:hAnsi="宋体" w:hint="eastAsia"/>
                <w:color w:val="000000"/>
                <w:kern w:val="0"/>
                <w:szCs w:val="21"/>
              </w:rPr>
              <w:t>斯坦</w:t>
            </w:r>
          </w:p>
        </w:tc>
        <w:tc>
          <w:tcPr>
            <w:tcW w:w="0" w:type="auto"/>
            <w:tcBorders>
              <w:top w:val="single" w:sz="2" w:space="0" w:color="auto"/>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2014</w:t>
            </w:r>
          </w:p>
        </w:tc>
        <w:tc>
          <w:tcPr>
            <w:tcW w:w="0" w:type="auto"/>
            <w:tcBorders>
              <w:top w:val="single" w:sz="2" w:space="0" w:color="auto"/>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96.35</w:t>
            </w:r>
          </w:p>
        </w:tc>
        <w:tc>
          <w:tcPr>
            <w:tcW w:w="0" w:type="auto"/>
            <w:tcBorders>
              <w:top w:val="single" w:sz="2" w:space="0" w:color="auto"/>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78.8</w:t>
            </w:r>
          </w:p>
        </w:tc>
        <w:tc>
          <w:tcPr>
            <w:tcW w:w="0" w:type="auto"/>
            <w:tcBorders>
              <w:top w:val="single" w:sz="2" w:space="0" w:color="auto"/>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49.64</w:t>
            </w:r>
          </w:p>
        </w:tc>
        <w:tc>
          <w:tcPr>
            <w:tcW w:w="0" w:type="auto"/>
            <w:tcBorders>
              <w:top w:val="single" w:sz="2" w:space="0" w:color="auto"/>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93.25</w:t>
            </w:r>
          </w:p>
        </w:tc>
        <w:tc>
          <w:tcPr>
            <w:tcW w:w="0" w:type="auto"/>
            <w:tcBorders>
              <w:top w:val="single" w:sz="2" w:space="0" w:color="auto"/>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65</w:t>
            </w:r>
            <w:r>
              <w:rPr>
                <w:rFonts w:hAnsi="宋体" w:hint="eastAsia"/>
                <w:color w:val="000000"/>
                <w:kern w:val="0"/>
                <w:szCs w:val="21"/>
              </w:rPr>
              <w:t>.00</w:t>
            </w:r>
          </w:p>
        </w:tc>
        <w:tc>
          <w:tcPr>
            <w:tcW w:w="0" w:type="auto"/>
            <w:tcBorders>
              <w:top w:val="single" w:sz="2" w:space="0" w:color="auto"/>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62.5</w:t>
            </w:r>
            <w:r>
              <w:rPr>
                <w:rFonts w:hAnsi="宋体" w:hint="eastAsia"/>
                <w:color w:val="000000"/>
                <w:kern w:val="0"/>
                <w:szCs w:val="21"/>
              </w:rPr>
              <w:t>0</w:t>
            </w:r>
          </w:p>
        </w:tc>
        <w:tc>
          <w:tcPr>
            <w:tcW w:w="0" w:type="auto"/>
            <w:tcBorders>
              <w:top w:val="single" w:sz="2" w:space="0" w:color="auto"/>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63.15</w:t>
            </w:r>
          </w:p>
        </w:tc>
        <w:tc>
          <w:tcPr>
            <w:tcW w:w="0" w:type="auto"/>
            <w:tcBorders>
              <w:top w:val="single" w:sz="2" w:space="0" w:color="auto"/>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64.63</w:t>
            </w:r>
          </w:p>
        </w:tc>
        <w:tc>
          <w:tcPr>
            <w:tcW w:w="0" w:type="auto"/>
            <w:tcBorders>
              <w:top w:val="single" w:sz="2" w:space="0" w:color="auto"/>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9.7</w:t>
            </w:r>
            <w:r>
              <w:rPr>
                <w:rFonts w:hAnsi="宋体" w:hint="eastAsia"/>
                <w:color w:val="000000"/>
                <w:kern w:val="0"/>
                <w:szCs w:val="21"/>
              </w:rPr>
              <w:t>0</w:t>
            </w:r>
          </w:p>
        </w:tc>
        <w:tc>
          <w:tcPr>
            <w:tcW w:w="0" w:type="auto"/>
            <w:tcBorders>
              <w:top w:val="single" w:sz="2" w:space="0" w:color="auto"/>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24.38</w:t>
            </w:r>
          </w:p>
        </w:tc>
      </w:tr>
      <w:tr w:rsidR="00051959" w:rsidRPr="00345A6D" w:rsidTr="0016650D">
        <w:trPr>
          <w:trHeight w:val="288"/>
        </w:trPr>
        <w:tc>
          <w:tcPr>
            <w:tcW w:w="0" w:type="auto"/>
            <w:vMerge/>
            <w:tcBorders>
              <w:top w:val="nil"/>
              <w:bottom w:val="nil"/>
            </w:tcBorders>
            <w:shd w:val="clear" w:color="auto" w:fill="auto"/>
            <w:noWrap/>
            <w:vAlign w:val="center"/>
            <w:hideMark/>
          </w:tcPr>
          <w:p w:rsidR="00051959" w:rsidRPr="00345A6D" w:rsidRDefault="00051959" w:rsidP="00345A6D">
            <w:pPr>
              <w:jc w:val="center"/>
              <w:rPr>
                <w:rFonts w:hAnsi="宋体"/>
                <w:color w:val="000000"/>
                <w:kern w:val="0"/>
                <w:szCs w:val="21"/>
              </w:rPr>
            </w:pPr>
          </w:p>
        </w:tc>
        <w:tc>
          <w:tcPr>
            <w:tcW w:w="0" w:type="auto"/>
            <w:tcBorders>
              <w:top w:val="nil"/>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2015</w:t>
            </w:r>
          </w:p>
        </w:tc>
        <w:tc>
          <w:tcPr>
            <w:tcW w:w="0" w:type="auto"/>
            <w:tcBorders>
              <w:top w:val="nil"/>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92.94</w:t>
            </w:r>
          </w:p>
        </w:tc>
        <w:tc>
          <w:tcPr>
            <w:tcW w:w="0" w:type="auto"/>
            <w:tcBorders>
              <w:top w:val="nil"/>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79.98</w:t>
            </w:r>
          </w:p>
        </w:tc>
        <w:tc>
          <w:tcPr>
            <w:tcW w:w="0" w:type="auto"/>
            <w:tcBorders>
              <w:top w:val="nil"/>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43.95</w:t>
            </w:r>
          </w:p>
        </w:tc>
        <w:tc>
          <w:tcPr>
            <w:tcW w:w="0" w:type="auto"/>
            <w:tcBorders>
              <w:top w:val="nil"/>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90.59</w:t>
            </w:r>
          </w:p>
        </w:tc>
        <w:tc>
          <w:tcPr>
            <w:tcW w:w="0" w:type="auto"/>
            <w:tcBorders>
              <w:top w:val="nil"/>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70</w:t>
            </w:r>
            <w:r>
              <w:rPr>
                <w:rFonts w:hAnsi="宋体" w:hint="eastAsia"/>
                <w:color w:val="000000"/>
                <w:kern w:val="0"/>
                <w:szCs w:val="21"/>
              </w:rPr>
              <w:t>.00</w:t>
            </w:r>
          </w:p>
        </w:tc>
        <w:tc>
          <w:tcPr>
            <w:tcW w:w="0" w:type="auto"/>
            <w:tcBorders>
              <w:top w:val="nil"/>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63.33</w:t>
            </w:r>
          </w:p>
        </w:tc>
        <w:tc>
          <w:tcPr>
            <w:tcW w:w="0" w:type="auto"/>
            <w:tcBorders>
              <w:top w:val="nil"/>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62.94</w:t>
            </w:r>
          </w:p>
        </w:tc>
        <w:tc>
          <w:tcPr>
            <w:tcW w:w="0" w:type="auto"/>
            <w:tcBorders>
              <w:top w:val="nil"/>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49.49</w:t>
            </w:r>
          </w:p>
        </w:tc>
        <w:tc>
          <w:tcPr>
            <w:tcW w:w="0" w:type="auto"/>
            <w:tcBorders>
              <w:top w:val="nil"/>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72.25</w:t>
            </w:r>
          </w:p>
        </w:tc>
        <w:tc>
          <w:tcPr>
            <w:tcW w:w="0" w:type="auto"/>
            <w:tcBorders>
              <w:top w:val="nil"/>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34.66</w:t>
            </w:r>
          </w:p>
        </w:tc>
      </w:tr>
      <w:tr w:rsidR="00051959" w:rsidRPr="00345A6D" w:rsidTr="0016650D">
        <w:trPr>
          <w:trHeight w:val="225"/>
        </w:trPr>
        <w:tc>
          <w:tcPr>
            <w:tcW w:w="0" w:type="auto"/>
            <w:vMerge/>
            <w:tcBorders>
              <w:top w:val="nil"/>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p>
        </w:tc>
        <w:tc>
          <w:tcPr>
            <w:tcW w:w="0" w:type="auto"/>
            <w:tcBorders>
              <w:top w:val="nil"/>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2016</w:t>
            </w:r>
          </w:p>
        </w:tc>
        <w:tc>
          <w:tcPr>
            <w:tcW w:w="0" w:type="auto"/>
            <w:tcBorders>
              <w:top w:val="nil"/>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92.95</w:t>
            </w:r>
          </w:p>
        </w:tc>
        <w:tc>
          <w:tcPr>
            <w:tcW w:w="0" w:type="auto"/>
            <w:tcBorders>
              <w:top w:val="nil"/>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76.74</w:t>
            </w:r>
          </w:p>
        </w:tc>
        <w:tc>
          <w:tcPr>
            <w:tcW w:w="0" w:type="auto"/>
            <w:tcBorders>
              <w:top w:val="nil"/>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44.05</w:t>
            </w:r>
          </w:p>
        </w:tc>
        <w:tc>
          <w:tcPr>
            <w:tcW w:w="0" w:type="auto"/>
            <w:tcBorders>
              <w:top w:val="nil"/>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90.6</w:t>
            </w:r>
            <w:r>
              <w:rPr>
                <w:rFonts w:hAnsi="宋体" w:hint="eastAsia"/>
                <w:color w:val="000000"/>
                <w:kern w:val="0"/>
                <w:szCs w:val="21"/>
              </w:rPr>
              <w:t>0</w:t>
            </w:r>
          </w:p>
        </w:tc>
        <w:tc>
          <w:tcPr>
            <w:tcW w:w="0" w:type="auto"/>
            <w:tcBorders>
              <w:top w:val="nil"/>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70</w:t>
            </w:r>
            <w:r>
              <w:rPr>
                <w:rFonts w:hAnsi="宋体" w:hint="eastAsia"/>
                <w:color w:val="000000"/>
                <w:kern w:val="0"/>
                <w:szCs w:val="21"/>
              </w:rPr>
              <w:t>.00</w:t>
            </w:r>
          </w:p>
        </w:tc>
        <w:tc>
          <w:tcPr>
            <w:tcW w:w="0" w:type="auto"/>
            <w:tcBorders>
              <w:top w:val="nil"/>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63.33</w:t>
            </w:r>
          </w:p>
        </w:tc>
        <w:tc>
          <w:tcPr>
            <w:tcW w:w="0" w:type="auto"/>
            <w:tcBorders>
              <w:top w:val="nil"/>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56.43</w:t>
            </w:r>
          </w:p>
        </w:tc>
        <w:tc>
          <w:tcPr>
            <w:tcW w:w="0" w:type="auto"/>
            <w:tcBorders>
              <w:top w:val="nil"/>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48.57</w:t>
            </w:r>
          </w:p>
        </w:tc>
        <w:tc>
          <w:tcPr>
            <w:tcW w:w="0" w:type="auto"/>
            <w:tcBorders>
              <w:top w:val="nil"/>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74.91</w:t>
            </w:r>
          </w:p>
        </w:tc>
        <w:tc>
          <w:tcPr>
            <w:tcW w:w="0" w:type="auto"/>
            <w:tcBorders>
              <w:top w:val="nil"/>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34.08</w:t>
            </w:r>
          </w:p>
        </w:tc>
      </w:tr>
      <w:tr w:rsidR="00051959" w:rsidRPr="00345A6D" w:rsidTr="0016650D">
        <w:trPr>
          <w:trHeight w:val="288"/>
        </w:trPr>
        <w:tc>
          <w:tcPr>
            <w:tcW w:w="0" w:type="auto"/>
            <w:vMerge w:val="restart"/>
            <w:tcBorders>
              <w:top w:val="single" w:sz="2" w:space="0" w:color="auto"/>
            </w:tcBorders>
            <w:shd w:val="clear" w:color="auto" w:fill="auto"/>
            <w:noWrap/>
            <w:vAlign w:val="center"/>
            <w:hideMark/>
          </w:tcPr>
          <w:p w:rsidR="00051959" w:rsidRDefault="00051959" w:rsidP="00345A6D">
            <w:pPr>
              <w:jc w:val="center"/>
              <w:rPr>
                <w:rFonts w:hAnsi="宋体"/>
                <w:color w:val="000000"/>
                <w:kern w:val="0"/>
                <w:szCs w:val="21"/>
              </w:rPr>
            </w:pPr>
            <w:r>
              <w:rPr>
                <w:rFonts w:hAnsi="宋体" w:hint="eastAsia"/>
                <w:color w:val="000000"/>
                <w:kern w:val="0"/>
                <w:szCs w:val="21"/>
              </w:rPr>
              <w:t>塔吉</w:t>
            </w:r>
          </w:p>
          <w:p w:rsidR="00051959" w:rsidRDefault="00051959" w:rsidP="00345A6D">
            <w:pPr>
              <w:jc w:val="center"/>
              <w:rPr>
                <w:rFonts w:hAnsi="宋体"/>
                <w:color w:val="000000"/>
                <w:kern w:val="0"/>
                <w:szCs w:val="21"/>
              </w:rPr>
            </w:pPr>
            <w:r>
              <w:rPr>
                <w:rFonts w:hAnsi="宋体" w:hint="eastAsia"/>
                <w:color w:val="000000"/>
                <w:kern w:val="0"/>
                <w:szCs w:val="21"/>
              </w:rPr>
              <w:t>克</w:t>
            </w:r>
          </w:p>
          <w:p w:rsidR="00051959" w:rsidRPr="00345A6D" w:rsidRDefault="00051959" w:rsidP="00345A6D">
            <w:pPr>
              <w:jc w:val="center"/>
              <w:rPr>
                <w:rFonts w:hAnsi="宋体"/>
                <w:color w:val="000000"/>
                <w:kern w:val="0"/>
                <w:szCs w:val="21"/>
              </w:rPr>
            </w:pPr>
            <w:r>
              <w:rPr>
                <w:rFonts w:hAnsi="宋体" w:hint="eastAsia"/>
                <w:color w:val="000000"/>
                <w:kern w:val="0"/>
                <w:szCs w:val="21"/>
              </w:rPr>
              <w:t>斯坦</w:t>
            </w:r>
          </w:p>
        </w:tc>
        <w:tc>
          <w:tcPr>
            <w:tcW w:w="0" w:type="auto"/>
            <w:tcBorders>
              <w:top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2014</w:t>
            </w:r>
          </w:p>
        </w:tc>
        <w:tc>
          <w:tcPr>
            <w:tcW w:w="0" w:type="auto"/>
            <w:tcBorders>
              <w:top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83</w:t>
            </w:r>
            <w:r>
              <w:rPr>
                <w:rFonts w:hAnsi="宋体" w:hint="eastAsia"/>
                <w:color w:val="000000"/>
                <w:kern w:val="0"/>
                <w:szCs w:val="21"/>
              </w:rPr>
              <w:t>.00</w:t>
            </w:r>
          </w:p>
        </w:tc>
        <w:tc>
          <w:tcPr>
            <w:tcW w:w="0" w:type="auto"/>
            <w:tcBorders>
              <w:top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52.13</w:t>
            </w:r>
          </w:p>
        </w:tc>
        <w:tc>
          <w:tcPr>
            <w:tcW w:w="0" w:type="auto"/>
            <w:tcBorders>
              <w:top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38.59</w:t>
            </w:r>
          </w:p>
        </w:tc>
        <w:tc>
          <w:tcPr>
            <w:tcW w:w="0" w:type="auto"/>
            <w:tcBorders>
              <w:top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72.06</w:t>
            </w:r>
          </w:p>
        </w:tc>
        <w:tc>
          <w:tcPr>
            <w:tcW w:w="0" w:type="auto"/>
            <w:tcBorders>
              <w:top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35</w:t>
            </w:r>
            <w:r>
              <w:rPr>
                <w:rFonts w:hAnsi="宋体" w:hint="eastAsia"/>
                <w:color w:val="000000"/>
                <w:kern w:val="0"/>
                <w:szCs w:val="21"/>
              </w:rPr>
              <w:t>.00</w:t>
            </w:r>
          </w:p>
        </w:tc>
        <w:tc>
          <w:tcPr>
            <w:tcW w:w="0" w:type="auto"/>
            <w:tcBorders>
              <w:top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58.33</w:t>
            </w:r>
          </w:p>
        </w:tc>
        <w:tc>
          <w:tcPr>
            <w:tcW w:w="0" w:type="auto"/>
            <w:tcBorders>
              <w:top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46.06</w:t>
            </w:r>
          </w:p>
        </w:tc>
        <w:tc>
          <w:tcPr>
            <w:tcW w:w="0" w:type="auto"/>
            <w:tcBorders>
              <w:top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67.42</w:t>
            </w:r>
          </w:p>
        </w:tc>
        <w:tc>
          <w:tcPr>
            <w:tcW w:w="0" w:type="auto"/>
            <w:tcBorders>
              <w:top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3.85</w:t>
            </w:r>
          </w:p>
        </w:tc>
        <w:tc>
          <w:tcPr>
            <w:tcW w:w="0" w:type="auto"/>
            <w:tcBorders>
              <w:top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29.26</w:t>
            </w:r>
          </w:p>
        </w:tc>
      </w:tr>
      <w:tr w:rsidR="00051959" w:rsidRPr="00345A6D" w:rsidTr="0016650D">
        <w:trPr>
          <w:trHeight w:val="288"/>
        </w:trPr>
        <w:tc>
          <w:tcPr>
            <w:tcW w:w="0" w:type="auto"/>
            <w:vMerge/>
            <w:shd w:val="clear" w:color="auto" w:fill="auto"/>
            <w:noWrap/>
            <w:vAlign w:val="center"/>
            <w:hideMark/>
          </w:tcPr>
          <w:p w:rsidR="00051959" w:rsidRPr="00345A6D" w:rsidRDefault="00051959" w:rsidP="00345A6D">
            <w:pPr>
              <w:jc w:val="center"/>
              <w:rPr>
                <w:rFonts w:hAnsi="宋体"/>
                <w:color w:val="000000"/>
                <w:kern w:val="0"/>
                <w:szCs w:val="21"/>
              </w:rPr>
            </w:pP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2015</w:t>
            </w: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57</w:t>
            </w:r>
            <w:r>
              <w:rPr>
                <w:rFonts w:hAnsi="宋体" w:hint="eastAsia"/>
                <w:color w:val="000000"/>
                <w:kern w:val="0"/>
                <w:szCs w:val="21"/>
              </w:rPr>
              <w:t>.00</w:t>
            </w: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57.98</w:t>
            </w: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34.79</w:t>
            </w: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60.78</w:t>
            </w: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40</w:t>
            </w:r>
            <w:r>
              <w:rPr>
                <w:rFonts w:hAnsi="宋体" w:hint="eastAsia"/>
                <w:color w:val="000000"/>
                <w:kern w:val="0"/>
                <w:szCs w:val="21"/>
              </w:rPr>
              <w:t>.00</w:t>
            </w: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65</w:t>
            </w:r>
            <w:r>
              <w:rPr>
                <w:rFonts w:hAnsi="宋体" w:hint="eastAsia"/>
                <w:color w:val="000000"/>
                <w:kern w:val="0"/>
                <w:szCs w:val="21"/>
              </w:rPr>
              <w:t>.00</w:t>
            </w: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43.53</w:t>
            </w: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63.49</w:t>
            </w: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57.05</w:t>
            </w: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29.04</w:t>
            </w:r>
          </w:p>
        </w:tc>
      </w:tr>
      <w:tr w:rsidR="00051959" w:rsidRPr="00345A6D" w:rsidTr="0016650D">
        <w:trPr>
          <w:trHeight w:val="288"/>
        </w:trPr>
        <w:tc>
          <w:tcPr>
            <w:tcW w:w="0" w:type="auto"/>
            <w:vMerge/>
            <w:tcBorders>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p>
        </w:tc>
        <w:tc>
          <w:tcPr>
            <w:tcW w:w="0" w:type="auto"/>
            <w:tcBorders>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2016</w:t>
            </w:r>
          </w:p>
        </w:tc>
        <w:tc>
          <w:tcPr>
            <w:tcW w:w="0" w:type="auto"/>
            <w:tcBorders>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86.61</w:t>
            </w:r>
          </w:p>
        </w:tc>
        <w:tc>
          <w:tcPr>
            <w:tcW w:w="0" w:type="auto"/>
            <w:tcBorders>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54.84</w:t>
            </w:r>
          </w:p>
        </w:tc>
        <w:tc>
          <w:tcPr>
            <w:tcW w:w="0" w:type="auto"/>
            <w:tcBorders>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35.21</w:t>
            </w:r>
          </w:p>
        </w:tc>
        <w:tc>
          <w:tcPr>
            <w:tcW w:w="0" w:type="auto"/>
            <w:tcBorders>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62</w:t>
            </w:r>
            <w:r>
              <w:rPr>
                <w:rFonts w:hAnsi="宋体" w:hint="eastAsia"/>
                <w:color w:val="000000"/>
                <w:kern w:val="0"/>
                <w:szCs w:val="21"/>
              </w:rPr>
              <w:t>.00</w:t>
            </w:r>
          </w:p>
        </w:tc>
        <w:tc>
          <w:tcPr>
            <w:tcW w:w="0" w:type="auto"/>
            <w:tcBorders>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40</w:t>
            </w:r>
            <w:r>
              <w:rPr>
                <w:rFonts w:hAnsi="宋体" w:hint="eastAsia"/>
                <w:color w:val="000000"/>
                <w:kern w:val="0"/>
                <w:szCs w:val="21"/>
              </w:rPr>
              <w:t>.00</w:t>
            </w:r>
          </w:p>
        </w:tc>
        <w:tc>
          <w:tcPr>
            <w:tcW w:w="0" w:type="auto"/>
            <w:tcBorders>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66.67</w:t>
            </w:r>
          </w:p>
        </w:tc>
        <w:tc>
          <w:tcPr>
            <w:tcW w:w="0" w:type="auto"/>
            <w:tcBorders>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58.79</w:t>
            </w:r>
          </w:p>
        </w:tc>
        <w:tc>
          <w:tcPr>
            <w:tcW w:w="0" w:type="auto"/>
            <w:tcBorders>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63.49</w:t>
            </w:r>
          </w:p>
        </w:tc>
        <w:tc>
          <w:tcPr>
            <w:tcW w:w="0" w:type="auto"/>
            <w:tcBorders>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57.05</w:t>
            </w:r>
          </w:p>
        </w:tc>
        <w:tc>
          <w:tcPr>
            <w:tcW w:w="0" w:type="auto"/>
            <w:tcBorders>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28.7</w:t>
            </w:r>
          </w:p>
        </w:tc>
      </w:tr>
      <w:tr w:rsidR="00051959" w:rsidRPr="00345A6D" w:rsidTr="0016650D">
        <w:trPr>
          <w:trHeight w:val="300"/>
        </w:trPr>
        <w:tc>
          <w:tcPr>
            <w:tcW w:w="0" w:type="auto"/>
            <w:vMerge w:val="restart"/>
            <w:tcBorders>
              <w:top w:val="single" w:sz="2" w:space="0" w:color="auto"/>
              <w:bottom w:val="nil"/>
            </w:tcBorders>
            <w:shd w:val="clear" w:color="auto" w:fill="auto"/>
            <w:noWrap/>
            <w:vAlign w:val="center"/>
            <w:hideMark/>
          </w:tcPr>
          <w:p w:rsidR="00051959" w:rsidRDefault="00051959" w:rsidP="00345A6D">
            <w:pPr>
              <w:jc w:val="center"/>
              <w:rPr>
                <w:rFonts w:hAnsi="宋体"/>
                <w:color w:val="000000"/>
                <w:kern w:val="0"/>
                <w:szCs w:val="21"/>
              </w:rPr>
            </w:pPr>
            <w:r>
              <w:rPr>
                <w:rFonts w:hAnsi="宋体" w:hint="eastAsia"/>
                <w:color w:val="000000"/>
                <w:kern w:val="0"/>
                <w:szCs w:val="21"/>
              </w:rPr>
              <w:t>乌兹</w:t>
            </w:r>
          </w:p>
          <w:p w:rsidR="00051959" w:rsidRDefault="00051959" w:rsidP="00345A6D">
            <w:pPr>
              <w:jc w:val="center"/>
              <w:rPr>
                <w:rFonts w:hAnsi="宋体"/>
                <w:color w:val="000000"/>
                <w:kern w:val="0"/>
                <w:szCs w:val="21"/>
              </w:rPr>
            </w:pPr>
            <w:r>
              <w:rPr>
                <w:rFonts w:hAnsi="宋体" w:hint="eastAsia"/>
                <w:color w:val="000000"/>
                <w:kern w:val="0"/>
                <w:szCs w:val="21"/>
              </w:rPr>
              <w:t>别克</w:t>
            </w:r>
          </w:p>
          <w:p w:rsidR="00051959" w:rsidRPr="00345A6D" w:rsidRDefault="00051959" w:rsidP="00345A6D">
            <w:pPr>
              <w:jc w:val="center"/>
              <w:rPr>
                <w:rFonts w:hAnsi="宋体"/>
                <w:color w:val="000000"/>
                <w:kern w:val="0"/>
                <w:szCs w:val="21"/>
              </w:rPr>
            </w:pPr>
            <w:r>
              <w:rPr>
                <w:rFonts w:hAnsi="宋体" w:hint="eastAsia"/>
                <w:color w:val="000000"/>
                <w:kern w:val="0"/>
                <w:szCs w:val="21"/>
              </w:rPr>
              <w:t>斯坦</w:t>
            </w:r>
          </w:p>
        </w:tc>
        <w:tc>
          <w:tcPr>
            <w:tcW w:w="0" w:type="auto"/>
            <w:tcBorders>
              <w:top w:val="single" w:sz="2" w:space="0" w:color="auto"/>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2014</w:t>
            </w:r>
          </w:p>
        </w:tc>
        <w:tc>
          <w:tcPr>
            <w:tcW w:w="0" w:type="auto"/>
            <w:tcBorders>
              <w:top w:val="single" w:sz="2" w:space="0" w:color="auto"/>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89</w:t>
            </w:r>
            <w:r>
              <w:rPr>
                <w:rFonts w:hAnsi="宋体" w:hint="eastAsia"/>
                <w:color w:val="000000"/>
                <w:kern w:val="0"/>
                <w:szCs w:val="21"/>
              </w:rPr>
              <w:t>.00</w:t>
            </w:r>
          </w:p>
        </w:tc>
        <w:tc>
          <w:tcPr>
            <w:tcW w:w="0" w:type="auto"/>
            <w:tcBorders>
              <w:top w:val="single" w:sz="2" w:space="0" w:color="auto"/>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60.28</w:t>
            </w:r>
          </w:p>
        </w:tc>
        <w:tc>
          <w:tcPr>
            <w:tcW w:w="0" w:type="auto"/>
            <w:tcBorders>
              <w:top w:val="single" w:sz="2" w:space="0" w:color="auto"/>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60.54</w:t>
            </w:r>
          </w:p>
        </w:tc>
        <w:tc>
          <w:tcPr>
            <w:tcW w:w="0" w:type="auto"/>
            <w:tcBorders>
              <w:top w:val="single" w:sz="2" w:space="0" w:color="auto"/>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55.21</w:t>
            </w:r>
          </w:p>
        </w:tc>
        <w:tc>
          <w:tcPr>
            <w:tcW w:w="0" w:type="auto"/>
            <w:tcBorders>
              <w:top w:val="single" w:sz="2" w:space="0" w:color="auto"/>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40</w:t>
            </w:r>
            <w:r>
              <w:rPr>
                <w:rFonts w:hAnsi="宋体" w:hint="eastAsia"/>
                <w:color w:val="000000"/>
                <w:kern w:val="0"/>
                <w:szCs w:val="21"/>
              </w:rPr>
              <w:t>.00</w:t>
            </w:r>
          </w:p>
        </w:tc>
        <w:tc>
          <w:tcPr>
            <w:tcW w:w="0" w:type="auto"/>
            <w:tcBorders>
              <w:top w:val="single" w:sz="2" w:space="0" w:color="auto"/>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50.83</w:t>
            </w:r>
          </w:p>
        </w:tc>
        <w:tc>
          <w:tcPr>
            <w:tcW w:w="0" w:type="auto"/>
            <w:tcBorders>
              <w:top w:val="single" w:sz="2" w:space="0" w:color="auto"/>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68.3</w:t>
            </w:r>
            <w:r>
              <w:rPr>
                <w:rFonts w:hAnsi="宋体" w:hint="eastAsia"/>
                <w:color w:val="000000"/>
                <w:kern w:val="0"/>
                <w:szCs w:val="21"/>
              </w:rPr>
              <w:t>0</w:t>
            </w:r>
          </w:p>
        </w:tc>
        <w:tc>
          <w:tcPr>
            <w:tcW w:w="0" w:type="auto"/>
            <w:tcBorders>
              <w:top w:val="single" w:sz="2" w:space="0" w:color="auto"/>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69.47</w:t>
            </w:r>
          </w:p>
        </w:tc>
        <w:tc>
          <w:tcPr>
            <w:tcW w:w="0" w:type="auto"/>
            <w:tcBorders>
              <w:top w:val="single" w:sz="2" w:space="0" w:color="auto"/>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2.56</w:t>
            </w:r>
          </w:p>
        </w:tc>
        <w:tc>
          <w:tcPr>
            <w:tcW w:w="0" w:type="auto"/>
            <w:tcBorders>
              <w:top w:val="single" w:sz="2" w:space="0" w:color="auto"/>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46.45</w:t>
            </w:r>
          </w:p>
        </w:tc>
      </w:tr>
      <w:tr w:rsidR="00051959" w:rsidRPr="00345A6D" w:rsidTr="0016650D">
        <w:trPr>
          <w:trHeight w:val="300"/>
        </w:trPr>
        <w:tc>
          <w:tcPr>
            <w:tcW w:w="0" w:type="auto"/>
            <w:vMerge/>
            <w:tcBorders>
              <w:top w:val="nil"/>
              <w:bottom w:val="nil"/>
            </w:tcBorders>
            <w:shd w:val="clear" w:color="auto" w:fill="auto"/>
            <w:noWrap/>
            <w:vAlign w:val="center"/>
            <w:hideMark/>
          </w:tcPr>
          <w:p w:rsidR="00051959" w:rsidRPr="00345A6D" w:rsidRDefault="00051959" w:rsidP="00345A6D">
            <w:pPr>
              <w:jc w:val="center"/>
              <w:rPr>
                <w:rFonts w:hAnsi="宋体"/>
                <w:color w:val="000000"/>
                <w:kern w:val="0"/>
                <w:szCs w:val="21"/>
              </w:rPr>
            </w:pPr>
          </w:p>
        </w:tc>
        <w:tc>
          <w:tcPr>
            <w:tcW w:w="0" w:type="auto"/>
            <w:tcBorders>
              <w:top w:val="nil"/>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2015</w:t>
            </w:r>
          </w:p>
        </w:tc>
        <w:tc>
          <w:tcPr>
            <w:tcW w:w="0" w:type="auto"/>
            <w:tcBorders>
              <w:top w:val="nil"/>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92.18</w:t>
            </w:r>
          </w:p>
        </w:tc>
        <w:tc>
          <w:tcPr>
            <w:tcW w:w="0" w:type="auto"/>
            <w:tcBorders>
              <w:top w:val="nil"/>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58.75</w:t>
            </w:r>
          </w:p>
        </w:tc>
        <w:tc>
          <w:tcPr>
            <w:tcW w:w="0" w:type="auto"/>
            <w:tcBorders>
              <w:top w:val="nil"/>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61.94</w:t>
            </w:r>
          </w:p>
        </w:tc>
        <w:tc>
          <w:tcPr>
            <w:tcW w:w="0" w:type="auto"/>
            <w:tcBorders>
              <w:top w:val="nil"/>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64.42</w:t>
            </w:r>
          </w:p>
        </w:tc>
        <w:tc>
          <w:tcPr>
            <w:tcW w:w="0" w:type="auto"/>
            <w:tcBorders>
              <w:top w:val="nil"/>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65</w:t>
            </w:r>
            <w:r>
              <w:rPr>
                <w:rFonts w:hAnsi="宋体" w:hint="eastAsia"/>
                <w:color w:val="000000"/>
                <w:kern w:val="0"/>
                <w:szCs w:val="21"/>
              </w:rPr>
              <w:t>.00</w:t>
            </w:r>
          </w:p>
        </w:tc>
        <w:tc>
          <w:tcPr>
            <w:tcW w:w="0" w:type="auto"/>
            <w:tcBorders>
              <w:top w:val="nil"/>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53.33</w:t>
            </w:r>
          </w:p>
        </w:tc>
        <w:tc>
          <w:tcPr>
            <w:tcW w:w="0" w:type="auto"/>
            <w:tcBorders>
              <w:top w:val="nil"/>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68.83</w:t>
            </w:r>
          </w:p>
        </w:tc>
        <w:tc>
          <w:tcPr>
            <w:tcW w:w="0" w:type="auto"/>
            <w:tcBorders>
              <w:top w:val="nil"/>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70.04</w:t>
            </w:r>
          </w:p>
        </w:tc>
        <w:tc>
          <w:tcPr>
            <w:tcW w:w="0" w:type="auto"/>
            <w:tcBorders>
              <w:top w:val="nil"/>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44.31</w:t>
            </w:r>
          </w:p>
        </w:tc>
        <w:tc>
          <w:tcPr>
            <w:tcW w:w="0" w:type="auto"/>
            <w:tcBorders>
              <w:top w:val="nil"/>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47.24</w:t>
            </w:r>
          </w:p>
        </w:tc>
      </w:tr>
      <w:tr w:rsidR="00051959" w:rsidRPr="00345A6D" w:rsidTr="0016650D">
        <w:trPr>
          <w:trHeight w:val="300"/>
        </w:trPr>
        <w:tc>
          <w:tcPr>
            <w:tcW w:w="0" w:type="auto"/>
            <w:vMerge/>
            <w:tcBorders>
              <w:top w:val="nil"/>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p>
        </w:tc>
        <w:tc>
          <w:tcPr>
            <w:tcW w:w="0" w:type="auto"/>
            <w:tcBorders>
              <w:top w:val="nil"/>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2016</w:t>
            </w:r>
          </w:p>
        </w:tc>
        <w:tc>
          <w:tcPr>
            <w:tcW w:w="0" w:type="auto"/>
            <w:tcBorders>
              <w:top w:val="nil"/>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93.93</w:t>
            </w:r>
          </w:p>
        </w:tc>
        <w:tc>
          <w:tcPr>
            <w:tcW w:w="0" w:type="auto"/>
            <w:tcBorders>
              <w:top w:val="nil"/>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59.79</w:t>
            </w:r>
          </w:p>
        </w:tc>
        <w:tc>
          <w:tcPr>
            <w:tcW w:w="0" w:type="auto"/>
            <w:tcBorders>
              <w:top w:val="nil"/>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71.81</w:t>
            </w:r>
          </w:p>
        </w:tc>
        <w:tc>
          <w:tcPr>
            <w:tcW w:w="0" w:type="auto"/>
            <w:tcBorders>
              <w:top w:val="nil"/>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66.23</w:t>
            </w:r>
          </w:p>
        </w:tc>
        <w:tc>
          <w:tcPr>
            <w:tcW w:w="0" w:type="auto"/>
            <w:tcBorders>
              <w:top w:val="nil"/>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65</w:t>
            </w:r>
            <w:r>
              <w:rPr>
                <w:rFonts w:hAnsi="宋体" w:hint="eastAsia"/>
                <w:color w:val="000000"/>
                <w:kern w:val="0"/>
                <w:szCs w:val="21"/>
              </w:rPr>
              <w:t>.00</w:t>
            </w:r>
          </w:p>
        </w:tc>
        <w:tc>
          <w:tcPr>
            <w:tcW w:w="0" w:type="auto"/>
            <w:tcBorders>
              <w:top w:val="nil"/>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56.67</w:t>
            </w:r>
          </w:p>
        </w:tc>
        <w:tc>
          <w:tcPr>
            <w:tcW w:w="0" w:type="auto"/>
            <w:tcBorders>
              <w:top w:val="nil"/>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59.06</w:t>
            </w:r>
          </w:p>
        </w:tc>
        <w:tc>
          <w:tcPr>
            <w:tcW w:w="0" w:type="auto"/>
            <w:tcBorders>
              <w:top w:val="nil"/>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67.26</w:t>
            </w:r>
          </w:p>
        </w:tc>
        <w:tc>
          <w:tcPr>
            <w:tcW w:w="0" w:type="auto"/>
            <w:tcBorders>
              <w:top w:val="nil"/>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44.31</w:t>
            </w:r>
          </w:p>
        </w:tc>
        <w:tc>
          <w:tcPr>
            <w:tcW w:w="0" w:type="auto"/>
            <w:tcBorders>
              <w:top w:val="nil"/>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46.29</w:t>
            </w:r>
          </w:p>
        </w:tc>
      </w:tr>
      <w:tr w:rsidR="00051959" w:rsidRPr="00345A6D" w:rsidTr="0016650D">
        <w:trPr>
          <w:trHeight w:val="300"/>
        </w:trPr>
        <w:tc>
          <w:tcPr>
            <w:tcW w:w="0" w:type="auto"/>
            <w:vMerge w:val="restart"/>
            <w:tcBorders>
              <w:top w:val="single" w:sz="2" w:space="0" w:color="auto"/>
            </w:tcBorders>
            <w:shd w:val="clear" w:color="auto" w:fill="auto"/>
            <w:noWrap/>
            <w:vAlign w:val="center"/>
            <w:hideMark/>
          </w:tcPr>
          <w:p w:rsidR="00051959" w:rsidRPr="00345A6D" w:rsidRDefault="00051959" w:rsidP="00345A6D">
            <w:pPr>
              <w:jc w:val="center"/>
              <w:rPr>
                <w:rFonts w:hAnsi="宋体"/>
                <w:color w:val="000000"/>
                <w:kern w:val="0"/>
                <w:szCs w:val="21"/>
              </w:rPr>
            </w:pPr>
            <w:r>
              <w:rPr>
                <w:rFonts w:hAnsi="宋体" w:hint="eastAsia"/>
                <w:color w:val="000000"/>
                <w:kern w:val="0"/>
                <w:szCs w:val="21"/>
              </w:rPr>
              <w:t>印度</w:t>
            </w:r>
          </w:p>
        </w:tc>
        <w:tc>
          <w:tcPr>
            <w:tcW w:w="0" w:type="auto"/>
            <w:tcBorders>
              <w:top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2014</w:t>
            </w:r>
          </w:p>
        </w:tc>
        <w:tc>
          <w:tcPr>
            <w:tcW w:w="0" w:type="auto"/>
            <w:tcBorders>
              <w:top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68.42</w:t>
            </w:r>
          </w:p>
        </w:tc>
        <w:tc>
          <w:tcPr>
            <w:tcW w:w="0" w:type="auto"/>
            <w:tcBorders>
              <w:top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30.89</w:t>
            </w:r>
          </w:p>
        </w:tc>
        <w:tc>
          <w:tcPr>
            <w:tcW w:w="0" w:type="auto"/>
            <w:tcBorders>
              <w:top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63.06</w:t>
            </w:r>
          </w:p>
        </w:tc>
        <w:tc>
          <w:tcPr>
            <w:tcW w:w="0" w:type="auto"/>
            <w:tcBorders>
              <w:top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60.4</w:t>
            </w:r>
          </w:p>
        </w:tc>
        <w:tc>
          <w:tcPr>
            <w:tcW w:w="0" w:type="auto"/>
            <w:tcBorders>
              <w:top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65</w:t>
            </w:r>
            <w:r>
              <w:rPr>
                <w:rFonts w:hAnsi="宋体" w:hint="eastAsia"/>
                <w:color w:val="000000"/>
                <w:kern w:val="0"/>
                <w:szCs w:val="21"/>
              </w:rPr>
              <w:t>.00</w:t>
            </w:r>
          </w:p>
        </w:tc>
        <w:tc>
          <w:tcPr>
            <w:tcW w:w="0" w:type="auto"/>
            <w:tcBorders>
              <w:top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72.5</w:t>
            </w:r>
          </w:p>
        </w:tc>
        <w:tc>
          <w:tcPr>
            <w:tcW w:w="0" w:type="auto"/>
            <w:tcBorders>
              <w:top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55.53</w:t>
            </w:r>
          </w:p>
        </w:tc>
        <w:tc>
          <w:tcPr>
            <w:tcW w:w="0" w:type="auto"/>
            <w:tcBorders>
              <w:top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25.81</w:t>
            </w:r>
          </w:p>
        </w:tc>
        <w:tc>
          <w:tcPr>
            <w:tcW w:w="0" w:type="auto"/>
            <w:tcBorders>
              <w:top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65.47</w:t>
            </w:r>
          </w:p>
        </w:tc>
        <w:tc>
          <w:tcPr>
            <w:tcW w:w="0" w:type="auto"/>
            <w:tcBorders>
              <w:top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32.6</w:t>
            </w:r>
            <w:r>
              <w:rPr>
                <w:rFonts w:hAnsi="宋体" w:hint="eastAsia"/>
                <w:color w:val="000000"/>
                <w:kern w:val="0"/>
                <w:szCs w:val="21"/>
              </w:rPr>
              <w:t>0</w:t>
            </w:r>
          </w:p>
        </w:tc>
      </w:tr>
      <w:tr w:rsidR="00051959" w:rsidRPr="00345A6D" w:rsidTr="0016650D">
        <w:trPr>
          <w:trHeight w:val="288"/>
        </w:trPr>
        <w:tc>
          <w:tcPr>
            <w:tcW w:w="0" w:type="auto"/>
            <w:vMerge/>
            <w:shd w:val="clear" w:color="auto" w:fill="auto"/>
            <w:noWrap/>
            <w:vAlign w:val="center"/>
            <w:hideMark/>
          </w:tcPr>
          <w:p w:rsidR="00051959" w:rsidRPr="00345A6D" w:rsidRDefault="00051959" w:rsidP="00345A6D">
            <w:pPr>
              <w:jc w:val="center"/>
              <w:rPr>
                <w:rFonts w:hAnsi="宋体"/>
                <w:color w:val="000000"/>
                <w:kern w:val="0"/>
                <w:szCs w:val="21"/>
              </w:rPr>
            </w:pP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2015</w:t>
            </w: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73.59</w:t>
            </w: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32.47</w:t>
            </w: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74.56</w:t>
            </w: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50.26</w:t>
            </w: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65</w:t>
            </w:r>
            <w:r>
              <w:rPr>
                <w:rFonts w:hAnsi="宋体" w:hint="eastAsia"/>
                <w:color w:val="000000"/>
                <w:kern w:val="0"/>
                <w:szCs w:val="21"/>
              </w:rPr>
              <w:t>.00</w:t>
            </w: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73.33</w:t>
            </w: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56.14</w:t>
            </w: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32.41</w:t>
            </w: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56.45</w:t>
            </w: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32.59</w:t>
            </w:r>
          </w:p>
        </w:tc>
      </w:tr>
      <w:tr w:rsidR="00051959" w:rsidRPr="00345A6D" w:rsidTr="0016650D">
        <w:trPr>
          <w:trHeight w:val="288"/>
        </w:trPr>
        <w:tc>
          <w:tcPr>
            <w:tcW w:w="0" w:type="auto"/>
            <w:vMerge/>
            <w:tcBorders>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p>
        </w:tc>
        <w:tc>
          <w:tcPr>
            <w:tcW w:w="0" w:type="auto"/>
            <w:tcBorders>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2016</w:t>
            </w:r>
          </w:p>
        </w:tc>
        <w:tc>
          <w:tcPr>
            <w:tcW w:w="0" w:type="auto"/>
            <w:tcBorders>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74.31</w:t>
            </w:r>
          </w:p>
        </w:tc>
        <w:tc>
          <w:tcPr>
            <w:tcW w:w="0" w:type="auto"/>
            <w:tcBorders>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32.83</w:t>
            </w:r>
          </w:p>
        </w:tc>
        <w:tc>
          <w:tcPr>
            <w:tcW w:w="0" w:type="auto"/>
            <w:tcBorders>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85.09</w:t>
            </w:r>
          </w:p>
        </w:tc>
        <w:tc>
          <w:tcPr>
            <w:tcW w:w="0" w:type="auto"/>
            <w:tcBorders>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50</w:t>
            </w:r>
            <w:r>
              <w:rPr>
                <w:rFonts w:hAnsi="宋体" w:hint="eastAsia"/>
                <w:color w:val="000000"/>
                <w:kern w:val="0"/>
                <w:szCs w:val="21"/>
              </w:rPr>
              <w:t>.00</w:t>
            </w:r>
          </w:p>
        </w:tc>
        <w:tc>
          <w:tcPr>
            <w:tcW w:w="0" w:type="auto"/>
            <w:tcBorders>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65</w:t>
            </w:r>
            <w:r>
              <w:rPr>
                <w:rFonts w:hAnsi="宋体" w:hint="eastAsia"/>
                <w:color w:val="000000"/>
                <w:kern w:val="0"/>
                <w:szCs w:val="21"/>
              </w:rPr>
              <w:t>.00</w:t>
            </w:r>
          </w:p>
        </w:tc>
        <w:tc>
          <w:tcPr>
            <w:tcW w:w="0" w:type="auto"/>
            <w:tcBorders>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73.33</w:t>
            </w:r>
          </w:p>
        </w:tc>
        <w:tc>
          <w:tcPr>
            <w:tcW w:w="0" w:type="auto"/>
            <w:tcBorders>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46.58</w:t>
            </w:r>
          </w:p>
        </w:tc>
        <w:tc>
          <w:tcPr>
            <w:tcW w:w="0" w:type="auto"/>
            <w:tcBorders>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35.19</w:t>
            </w:r>
          </w:p>
        </w:tc>
        <w:tc>
          <w:tcPr>
            <w:tcW w:w="0" w:type="auto"/>
            <w:tcBorders>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57.61</w:t>
            </w:r>
          </w:p>
        </w:tc>
        <w:tc>
          <w:tcPr>
            <w:tcW w:w="0" w:type="auto"/>
            <w:tcBorders>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32.75</w:t>
            </w:r>
          </w:p>
        </w:tc>
      </w:tr>
      <w:tr w:rsidR="00051959" w:rsidRPr="00345A6D" w:rsidTr="0016650D">
        <w:trPr>
          <w:trHeight w:val="288"/>
        </w:trPr>
        <w:tc>
          <w:tcPr>
            <w:tcW w:w="0" w:type="auto"/>
            <w:vMerge w:val="restart"/>
            <w:tcBorders>
              <w:top w:val="single" w:sz="2" w:space="0" w:color="auto"/>
              <w:bottom w:val="nil"/>
            </w:tcBorders>
            <w:shd w:val="clear" w:color="auto" w:fill="auto"/>
            <w:noWrap/>
            <w:vAlign w:val="center"/>
            <w:hideMark/>
          </w:tcPr>
          <w:p w:rsidR="00051959" w:rsidRDefault="00051959" w:rsidP="00345A6D">
            <w:pPr>
              <w:jc w:val="center"/>
              <w:rPr>
                <w:rFonts w:hAnsi="宋体"/>
                <w:color w:val="000000"/>
                <w:kern w:val="0"/>
                <w:szCs w:val="21"/>
              </w:rPr>
            </w:pPr>
            <w:r>
              <w:rPr>
                <w:rFonts w:hAnsi="宋体" w:hint="eastAsia"/>
                <w:color w:val="000000"/>
                <w:kern w:val="0"/>
                <w:szCs w:val="21"/>
              </w:rPr>
              <w:t>俄罗</w:t>
            </w:r>
          </w:p>
          <w:p w:rsidR="00051959" w:rsidRPr="00345A6D" w:rsidRDefault="00051959" w:rsidP="00345A6D">
            <w:pPr>
              <w:jc w:val="center"/>
              <w:rPr>
                <w:rFonts w:hAnsi="宋体"/>
                <w:color w:val="000000"/>
                <w:kern w:val="0"/>
                <w:szCs w:val="21"/>
              </w:rPr>
            </w:pPr>
            <w:r>
              <w:rPr>
                <w:rFonts w:hAnsi="宋体" w:hint="eastAsia"/>
                <w:color w:val="000000"/>
                <w:kern w:val="0"/>
                <w:szCs w:val="21"/>
              </w:rPr>
              <w:t>斯</w:t>
            </w:r>
          </w:p>
        </w:tc>
        <w:tc>
          <w:tcPr>
            <w:tcW w:w="0" w:type="auto"/>
            <w:tcBorders>
              <w:top w:val="single" w:sz="2" w:space="0" w:color="auto"/>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2014</w:t>
            </w:r>
          </w:p>
        </w:tc>
        <w:tc>
          <w:tcPr>
            <w:tcW w:w="0" w:type="auto"/>
            <w:tcBorders>
              <w:top w:val="single" w:sz="2" w:space="0" w:color="auto"/>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92.17</w:t>
            </w:r>
          </w:p>
        </w:tc>
        <w:tc>
          <w:tcPr>
            <w:tcW w:w="0" w:type="auto"/>
            <w:tcBorders>
              <w:top w:val="single" w:sz="2" w:space="0" w:color="auto"/>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56.7</w:t>
            </w:r>
          </w:p>
        </w:tc>
        <w:tc>
          <w:tcPr>
            <w:tcW w:w="0" w:type="auto"/>
            <w:tcBorders>
              <w:top w:val="single" w:sz="2" w:space="0" w:color="auto"/>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60.89</w:t>
            </w:r>
          </w:p>
        </w:tc>
        <w:tc>
          <w:tcPr>
            <w:tcW w:w="0" w:type="auto"/>
            <w:tcBorders>
              <w:top w:val="single" w:sz="2" w:space="0" w:color="auto"/>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91.27</w:t>
            </w:r>
          </w:p>
        </w:tc>
        <w:tc>
          <w:tcPr>
            <w:tcW w:w="0" w:type="auto"/>
            <w:tcBorders>
              <w:top w:val="single" w:sz="2" w:space="0" w:color="auto"/>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55</w:t>
            </w:r>
            <w:r>
              <w:rPr>
                <w:rFonts w:hAnsi="宋体" w:hint="eastAsia"/>
                <w:color w:val="000000"/>
                <w:kern w:val="0"/>
                <w:szCs w:val="21"/>
              </w:rPr>
              <w:t>.00</w:t>
            </w:r>
          </w:p>
        </w:tc>
        <w:tc>
          <w:tcPr>
            <w:tcW w:w="0" w:type="auto"/>
            <w:tcBorders>
              <w:top w:val="single" w:sz="2" w:space="0" w:color="auto"/>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50.83</w:t>
            </w:r>
          </w:p>
        </w:tc>
        <w:tc>
          <w:tcPr>
            <w:tcW w:w="0" w:type="auto"/>
            <w:tcBorders>
              <w:top w:val="single" w:sz="2" w:space="0" w:color="auto"/>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80.63</w:t>
            </w:r>
          </w:p>
        </w:tc>
        <w:tc>
          <w:tcPr>
            <w:tcW w:w="0" w:type="auto"/>
            <w:tcBorders>
              <w:top w:val="single" w:sz="2" w:space="0" w:color="auto"/>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75.85</w:t>
            </w:r>
          </w:p>
        </w:tc>
        <w:tc>
          <w:tcPr>
            <w:tcW w:w="0" w:type="auto"/>
            <w:tcBorders>
              <w:top w:val="single" w:sz="2" w:space="0" w:color="auto"/>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53.58</w:t>
            </w:r>
          </w:p>
        </w:tc>
        <w:tc>
          <w:tcPr>
            <w:tcW w:w="0" w:type="auto"/>
            <w:tcBorders>
              <w:top w:val="single" w:sz="2" w:space="0" w:color="auto"/>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49.69</w:t>
            </w:r>
          </w:p>
        </w:tc>
      </w:tr>
      <w:tr w:rsidR="00051959" w:rsidRPr="00345A6D" w:rsidTr="0016650D">
        <w:trPr>
          <w:trHeight w:val="288"/>
        </w:trPr>
        <w:tc>
          <w:tcPr>
            <w:tcW w:w="0" w:type="auto"/>
            <w:vMerge/>
            <w:tcBorders>
              <w:top w:val="nil"/>
              <w:bottom w:val="nil"/>
            </w:tcBorders>
            <w:shd w:val="clear" w:color="auto" w:fill="auto"/>
            <w:noWrap/>
            <w:vAlign w:val="center"/>
            <w:hideMark/>
          </w:tcPr>
          <w:p w:rsidR="00051959" w:rsidRPr="00345A6D" w:rsidRDefault="00051959" w:rsidP="00345A6D">
            <w:pPr>
              <w:jc w:val="center"/>
              <w:rPr>
                <w:rFonts w:hAnsi="宋体"/>
                <w:color w:val="000000"/>
                <w:kern w:val="0"/>
                <w:szCs w:val="21"/>
              </w:rPr>
            </w:pPr>
          </w:p>
        </w:tc>
        <w:tc>
          <w:tcPr>
            <w:tcW w:w="0" w:type="auto"/>
            <w:tcBorders>
              <w:top w:val="nil"/>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2015</w:t>
            </w:r>
          </w:p>
        </w:tc>
        <w:tc>
          <w:tcPr>
            <w:tcW w:w="0" w:type="auto"/>
            <w:tcBorders>
              <w:top w:val="nil"/>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92.35</w:t>
            </w:r>
          </w:p>
        </w:tc>
        <w:tc>
          <w:tcPr>
            <w:tcW w:w="0" w:type="auto"/>
            <w:tcBorders>
              <w:top w:val="nil"/>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65.23</w:t>
            </w:r>
          </w:p>
        </w:tc>
        <w:tc>
          <w:tcPr>
            <w:tcW w:w="0" w:type="auto"/>
            <w:tcBorders>
              <w:top w:val="nil"/>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84.22</w:t>
            </w:r>
          </w:p>
        </w:tc>
        <w:tc>
          <w:tcPr>
            <w:tcW w:w="0" w:type="auto"/>
            <w:tcBorders>
              <w:top w:val="nil"/>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90.51</w:t>
            </w:r>
          </w:p>
        </w:tc>
        <w:tc>
          <w:tcPr>
            <w:tcW w:w="0" w:type="auto"/>
            <w:tcBorders>
              <w:top w:val="nil"/>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65</w:t>
            </w:r>
            <w:r>
              <w:rPr>
                <w:rFonts w:hAnsi="宋体" w:hint="eastAsia"/>
                <w:color w:val="000000"/>
                <w:kern w:val="0"/>
                <w:szCs w:val="21"/>
              </w:rPr>
              <w:t>.00</w:t>
            </w:r>
          </w:p>
        </w:tc>
        <w:tc>
          <w:tcPr>
            <w:tcW w:w="0" w:type="auto"/>
            <w:tcBorders>
              <w:top w:val="nil"/>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56.67</w:t>
            </w:r>
          </w:p>
        </w:tc>
        <w:tc>
          <w:tcPr>
            <w:tcW w:w="0" w:type="auto"/>
            <w:tcBorders>
              <w:top w:val="nil"/>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81.6</w:t>
            </w:r>
            <w:r>
              <w:rPr>
                <w:rFonts w:hAnsi="宋体" w:hint="eastAsia"/>
                <w:color w:val="000000"/>
                <w:kern w:val="0"/>
                <w:szCs w:val="21"/>
              </w:rPr>
              <w:t>0</w:t>
            </w:r>
          </w:p>
        </w:tc>
        <w:tc>
          <w:tcPr>
            <w:tcW w:w="0" w:type="auto"/>
            <w:tcBorders>
              <w:top w:val="nil"/>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78.56</w:t>
            </w:r>
          </w:p>
        </w:tc>
        <w:tc>
          <w:tcPr>
            <w:tcW w:w="0" w:type="auto"/>
            <w:tcBorders>
              <w:top w:val="nil"/>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37.39</w:t>
            </w:r>
          </w:p>
        </w:tc>
        <w:tc>
          <w:tcPr>
            <w:tcW w:w="0" w:type="auto"/>
            <w:tcBorders>
              <w:top w:val="nil"/>
              <w:bottom w:val="nil"/>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58.39</w:t>
            </w:r>
          </w:p>
        </w:tc>
      </w:tr>
      <w:tr w:rsidR="00051959" w:rsidRPr="00345A6D" w:rsidTr="0016650D">
        <w:trPr>
          <w:trHeight w:val="288"/>
        </w:trPr>
        <w:tc>
          <w:tcPr>
            <w:tcW w:w="0" w:type="auto"/>
            <w:vMerge/>
            <w:tcBorders>
              <w:top w:val="nil"/>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p>
        </w:tc>
        <w:tc>
          <w:tcPr>
            <w:tcW w:w="0" w:type="auto"/>
            <w:tcBorders>
              <w:top w:val="nil"/>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2016</w:t>
            </w:r>
          </w:p>
        </w:tc>
        <w:tc>
          <w:tcPr>
            <w:tcW w:w="0" w:type="auto"/>
            <w:tcBorders>
              <w:top w:val="nil"/>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93.57</w:t>
            </w:r>
          </w:p>
        </w:tc>
        <w:tc>
          <w:tcPr>
            <w:tcW w:w="0" w:type="auto"/>
            <w:tcBorders>
              <w:top w:val="nil"/>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65.86</w:t>
            </w:r>
          </w:p>
        </w:tc>
        <w:tc>
          <w:tcPr>
            <w:tcW w:w="0" w:type="auto"/>
            <w:tcBorders>
              <w:top w:val="nil"/>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84.37</w:t>
            </w:r>
          </w:p>
        </w:tc>
        <w:tc>
          <w:tcPr>
            <w:tcW w:w="0" w:type="auto"/>
            <w:tcBorders>
              <w:top w:val="nil"/>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90.55</w:t>
            </w:r>
          </w:p>
        </w:tc>
        <w:tc>
          <w:tcPr>
            <w:tcW w:w="0" w:type="auto"/>
            <w:tcBorders>
              <w:top w:val="nil"/>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65</w:t>
            </w:r>
            <w:r>
              <w:rPr>
                <w:rFonts w:hAnsi="宋体" w:hint="eastAsia"/>
                <w:color w:val="000000"/>
                <w:kern w:val="0"/>
                <w:szCs w:val="21"/>
              </w:rPr>
              <w:t>.00</w:t>
            </w:r>
          </w:p>
        </w:tc>
        <w:tc>
          <w:tcPr>
            <w:tcW w:w="0" w:type="auto"/>
            <w:tcBorders>
              <w:top w:val="nil"/>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60</w:t>
            </w:r>
            <w:r>
              <w:rPr>
                <w:rFonts w:hAnsi="宋体" w:hint="eastAsia"/>
                <w:color w:val="000000"/>
                <w:kern w:val="0"/>
                <w:szCs w:val="21"/>
              </w:rPr>
              <w:t>.00</w:t>
            </w:r>
          </w:p>
        </w:tc>
        <w:tc>
          <w:tcPr>
            <w:tcW w:w="0" w:type="auto"/>
            <w:tcBorders>
              <w:top w:val="nil"/>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82.96</w:t>
            </w:r>
          </w:p>
        </w:tc>
        <w:tc>
          <w:tcPr>
            <w:tcW w:w="0" w:type="auto"/>
            <w:tcBorders>
              <w:top w:val="nil"/>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74.96</w:t>
            </w:r>
          </w:p>
        </w:tc>
        <w:tc>
          <w:tcPr>
            <w:tcW w:w="0" w:type="auto"/>
            <w:tcBorders>
              <w:top w:val="nil"/>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57.96</w:t>
            </w:r>
          </w:p>
        </w:tc>
        <w:tc>
          <w:tcPr>
            <w:tcW w:w="0" w:type="auto"/>
            <w:tcBorders>
              <w:top w:val="nil"/>
              <w:bottom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56.69</w:t>
            </w:r>
          </w:p>
        </w:tc>
      </w:tr>
      <w:tr w:rsidR="00051959" w:rsidRPr="00345A6D" w:rsidTr="0016650D">
        <w:trPr>
          <w:trHeight w:val="300"/>
        </w:trPr>
        <w:tc>
          <w:tcPr>
            <w:tcW w:w="0" w:type="auto"/>
            <w:vMerge w:val="restart"/>
            <w:tcBorders>
              <w:top w:val="single" w:sz="2" w:space="0" w:color="auto"/>
            </w:tcBorders>
            <w:shd w:val="clear" w:color="auto" w:fill="auto"/>
            <w:noWrap/>
            <w:vAlign w:val="center"/>
            <w:hideMark/>
          </w:tcPr>
          <w:p w:rsidR="00051959" w:rsidRDefault="00051959" w:rsidP="00345A6D">
            <w:pPr>
              <w:jc w:val="center"/>
              <w:rPr>
                <w:rFonts w:hAnsi="宋体"/>
                <w:color w:val="000000"/>
                <w:kern w:val="0"/>
                <w:szCs w:val="21"/>
              </w:rPr>
            </w:pPr>
            <w:r>
              <w:rPr>
                <w:rFonts w:hAnsi="宋体" w:hint="eastAsia"/>
                <w:color w:val="000000"/>
                <w:kern w:val="0"/>
                <w:szCs w:val="21"/>
              </w:rPr>
              <w:t>巴基</w:t>
            </w:r>
          </w:p>
          <w:p w:rsidR="00051959" w:rsidRPr="00345A6D" w:rsidRDefault="00051959" w:rsidP="00345A6D">
            <w:pPr>
              <w:jc w:val="center"/>
              <w:rPr>
                <w:rFonts w:hAnsi="宋体"/>
                <w:color w:val="000000"/>
                <w:kern w:val="0"/>
                <w:szCs w:val="21"/>
              </w:rPr>
            </w:pPr>
            <w:r>
              <w:rPr>
                <w:rFonts w:hAnsi="宋体" w:hint="eastAsia"/>
                <w:color w:val="000000"/>
                <w:kern w:val="0"/>
                <w:szCs w:val="21"/>
              </w:rPr>
              <w:t>斯坦</w:t>
            </w:r>
          </w:p>
        </w:tc>
        <w:tc>
          <w:tcPr>
            <w:tcW w:w="0" w:type="auto"/>
            <w:tcBorders>
              <w:top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2014</w:t>
            </w:r>
          </w:p>
        </w:tc>
        <w:tc>
          <w:tcPr>
            <w:tcW w:w="0" w:type="auto"/>
            <w:tcBorders>
              <w:top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80.92</w:t>
            </w:r>
          </w:p>
        </w:tc>
        <w:tc>
          <w:tcPr>
            <w:tcW w:w="0" w:type="auto"/>
            <w:tcBorders>
              <w:top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66.07</w:t>
            </w:r>
          </w:p>
        </w:tc>
        <w:tc>
          <w:tcPr>
            <w:tcW w:w="0" w:type="auto"/>
            <w:tcBorders>
              <w:top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60.1</w:t>
            </w:r>
          </w:p>
        </w:tc>
        <w:tc>
          <w:tcPr>
            <w:tcW w:w="0" w:type="auto"/>
            <w:tcBorders>
              <w:top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61.48</w:t>
            </w:r>
          </w:p>
        </w:tc>
        <w:tc>
          <w:tcPr>
            <w:tcW w:w="0" w:type="auto"/>
            <w:tcBorders>
              <w:top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30</w:t>
            </w:r>
            <w:r>
              <w:rPr>
                <w:rFonts w:hAnsi="宋体" w:hint="eastAsia"/>
                <w:color w:val="000000"/>
                <w:kern w:val="0"/>
                <w:szCs w:val="21"/>
              </w:rPr>
              <w:t>.00</w:t>
            </w:r>
          </w:p>
        </w:tc>
        <w:tc>
          <w:tcPr>
            <w:tcW w:w="0" w:type="auto"/>
            <w:tcBorders>
              <w:top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66.67</w:t>
            </w:r>
          </w:p>
        </w:tc>
        <w:tc>
          <w:tcPr>
            <w:tcW w:w="0" w:type="auto"/>
            <w:tcBorders>
              <w:top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44.46</w:t>
            </w:r>
          </w:p>
        </w:tc>
        <w:tc>
          <w:tcPr>
            <w:tcW w:w="0" w:type="auto"/>
            <w:tcBorders>
              <w:top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41.53</w:t>
            </w:r>
          </w:p>
        </w:tc>
        <w:tc>
          <w:tcPr>
            <w:tcW w:w="0" w:type="auto"/>
            <w:tcBorders>
              <w:top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69.05</w:t>
            </w:r>
          </w:p>
        </w:tc>
        <w:tc>
          <w:tcPr>
            <w:tcW w:w="0" w:type="auto"/>
            <w:tcBorders>
              <w:top w:val="single" w:sz="2" w:space="0" w:color="auto"/>
            </w:tcBorders>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46.18</w:t>
            </w:r>
          </w:p>
        </w:tc>
      </w:tr>
      <w:tr w:rsidR="00051959" w:rsidRPr="00345A6D" w:rsidTr="0016650D">
        <w:trPr>
          <w:trHeight w:val="288"/>
        </w:trPr>
        <w:tc>
          <w:tcPr>
            <w:tcW w:w="0" w:type="auto"/>
            <w:vMerge/>
            <w:shd w:val="clear" w:color="auto" w:fill="auto"/>
            <w:noWrap/>
            <w:vAlign w:val="center"/>
            <w:hideMark/>
          </w:tcPr>
          <w:p w:rsidR="00051959" w:rsidRPr="00345A6D" w:rsidRDefault="00051959" w:rsidP="00345A6D">
            <w:pPr>
              <w:jc w:val="center"/>
              <w:rPr>
                <w:rFonts w:hAnsi="宋体"/>
                <w:color w:val="000000"/>
                <w:kern w:val="0"/>
                <w:szCs w:val="21"/>
              </w:rPr>
            </w:pP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2015</w:t>
            </w: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80.94</w:t>
            </w: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72.62</w:t>
            </w: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45.47</w:t>
            </w: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50.31</w:t>
            </w: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30</w:t>
            </w:r>
            <w:r>
              <w:rPr>
                <w:rFonts w:hAnsi="宋体" w:hint="eastAsia"/>
                <w:color w:val="000000"/>
                <w:kern w:val="0"/>
                <w:szCs w:val="21"/>
              </w:rPr>
              <w:t>.00</w:t>
            </w: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66.67</w:t>
            </w: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44.46</w:t>
            </w: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45.35</w:t>
            </w: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38.11</w:t>
            </w: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42.96</w:t>
            </w:r>
          </w:p>
        </w:tc>
      </w:tr>
      <w:tr w:rsidR="00051959" w:rsidRPr="00345A6D" w:rsidTr="0016650D">
        <w:trPr>
          <w:trHeight w:val="300"/>
        </w:trPr>
        <w:tc>
          <w:tcPr>
            <w:tcW w:w="0" w:type="auto"/>
            <w:vMerge/>
            <w:shd w:val="clear" w:color="auto" w:fill="auto"/>
            <w:noWrap/>
            <w:vAlign w:val="center"/>
            <w:hideMark/>
          </w:tcPr>
          <w:p w:rsidR="00051959" w:rsidRPr="00345A6D" w:rsidRDefault="00051959" w:rsidP="00345A6D">
            <w:pPr>
              <w:widowControl/>
              <w:jc w:val="center"/>
              <w:rPr>
                <w:rFonts w:hAnsi="宋体"/>
                <w:color w:val="000000"/>
                <w:kern w:val="0"/>
                <w:szCs w:val="21"/>
              </w:rPr>
            </w:pP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2016</w:t>
            </w: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77.88</w:t>
            </w: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59.07</w:t>
            </w: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42.05</w:t>
            </w: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40.7</w:t>
            </w:r>
            <w:r>
              <w:rPr>
                <w:rFonts w:hAnsi="宋体" w:hint="eastAsia"/>
                <w:color w:val="000000"/>
                <w:kern w:val="0"/>
                <w:szCs w:val="21"/>
              </w:rPr>
              <w:t>0</w:t>
            </w: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50</w:t>
            </w:r>
            <w:r>
              <w:rPr>
                <w:rFonts w:hAnsi="宋体" w:hint="eastAsia"/>
                <w:color w:val="000000"/>
                <w:kern w:val="0"/>
                <w:szCs w:val="21"/>
              </w:rPr>
              <w:t>.00</w:t>
            </w: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66.67</w:t>
            </w: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53.4</w:t>
            </w:r>
            <w:r>
              <w:rPr>
                <w:rFonts w:hAnsi="宋体" w:hint="eastAsia"/>
                <w:color w:val="000000"/>
                <w:kern w:val="0"/>
                <w:szCs w:val="21"/>
              </w:rPr>
              <w:t>0</w:t>
            </w: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43.49</w:t>
            </w: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39.41</w:t>
            </w:r>
          </w:p>
        </w:tc>
        <w:tc>
          <w:tcPr>
            <w:tcW w:w="0" w:type="auto"/>
            <w:shd w:val="clear" w:color="auto" w:fill="auto"/>
            <w:noWrap/>
            <w:vAlign w:val="center"/>
            <w:hideMark/>
          </w:tcPr>
          <w:p w:rsidR="00051959" w:rsidRPr="00345A6D" w:rsidRDefault="00051959" w:rsidP="00345A6D">
            <w:pPr>
              <w:widowControl/>
              <w:jc w:val="center"/>
              <w:rPr>
                <w:rFonts w:hAnsi="宋体"/>
                <w:color w:val="000000"/>
                <w:kern w:val="0"/>
                <w:szCs w:val="21"/>
              </w:rPr>
            </w:pPr>
            <w:r w:rsidRPr="00345A6D">
              <w:rPr>
                <w:rFonts w:hAnsi="宋体" w:hint="eastAsia"/>
                <w:color w:val="000000"/>
                <w:kern w:val="0"/>
                <w:szCs w:val="21"/>
              </w:rPr>
              <w:t>45.01</w:t>
            </w:r>
          </w:p>
        </w:tc>
      </w:tr>
    </w:tbl>
    <w:p w:rsidR="00051959" w:rsidRPr="00781506" w:rsidRDefault="00051959" w:rsidP="009B2504">
      <w:pPr>
        <w:ind w:firstLine="420"/>
        <w:rPr>
          <w:rFonts w:ascii="宋体" w:hAnsi="宋体"/>
          <w:sz w:val="18"/>
          <w:szCs w:val="18"/>
        </w:rPr>
      </w:pPr>
      <w:r w:rsidRPr="00781506">
        <w:rPr>
          <w:rFonts w:ascii="宋体" w:hAnsi="宋体" w:hint="eastAsia"/>
          <w:sz w:val="18"/>
          <w:szCs w:val="18"/>
        </w:rPr>
        <w:t>数据来源：世界银行《营商环境报告》。2014年数据来源于2015年报告，2015年数据来源于2016年报告，2016年数据来源于2017年报告。</w:t>
      </w:r>
    </w:p>
    <w:p w:rsidR="00051959" w:rsidRDefault="00051959" w:rsidP="009B2504">
      <w:pPr>
        <w:ind w:firstLine="420"/>
        <w:rPr>
          <w:rFonts w:ascii="宋体" w:hAnsi="宋体"/>
          <w:sz w:val="24"/>
        </w:rPr>
      </w:pPr>
    </w:p>
    <w:p w:rsidR="00051959" w:rsidRPr="00D964C5" w:rsidRDefault="00051959" w:rsidP="00202FED">
      <w:pPr>
        <w:widowControl/>
        <w:adjustRightInd w:val="0"/>
        <w:spacing w:before="100" w:beforeAutospacing="1" w:after="100" w:afterAutospacing="1" w:line="400" w:lineRule="exact"/>
        <w:jc w:val="center"/>
        <w:outlineLvl w:val="0"/>
        <w:rPr>
          <w:rFonts w:ascii="黑体" w:eastAsia="黑体" w:hAnsi="黑体" w:cs="宋体"/>
          <w:b/>
          <w:kern w:val="0"/>
          <w:sz w:val="24"/>
        </w:rPr>
      </w:pPr>
      <w:r w:rsidRPr="00D964C5">
        <w:rPr>
          <w:rFonts w:ascii="黑体" w:eastAsia="黑体" w:hAnsi="黑体" w:cs="宋体" w:hint="eastAsia"/>
          <w:b/>
          <w:kern w:val="0"/>
          <w:sz w:val="24"/>
        </w:rPr>
        <w:t>四、中国对</w:t>
      </w:r>
      <w:r>
        <w:rPr>
          <w:rFonts w:ascii="黑体" w:eastAsia="黑体" w:hAnsi="黑体" w:cs="宋体" w:hint="eastAsia"/>
          <w:b/>
          <w:kern w:val="0"/>
          <w:sz w:val="24"/>
        </w:rPr>
        <w:t>上海合作组织</w:t>
      </w:r>
      <w:r w:rsidRPr="00D964C5">
        <w:rPr>
          <w:rFonts w:ascii="黑体" w:eastAsia="黑体" w:hAnsi="黑体" w:cs="宋体" w:hint="eastAsia"/>
          <w:b/>
          <w:kern w:val="0"/>
          <w:sz w:val="24"/>
        </w:rPr>
        <w:t>国家投资效率评价</w:t>
      </w:r>
    </w:p>
    <w:p w:rsidR="00051959" w:rsidRPr="00A425C1" w:rsidRDefault="00051959" w:rsidP="00202FED">
      <w:pPr>
        <w:ind w:firstLine="420"/>
        <w:rPr>
          <w:rFonts w:ascii="宋体" w:hAnsi="宋体"/>
          <w:szCs w:val="21"/>
        </w:rPr>
      </w:pPr>
      <w:r w:rsidRPr="00A425C1">
        <w:rPr>
          <w:rFonts w:ascii="宋体" w:hAnsi="宋体" w:hint="eastAsia"/>
          <w:szCs w:val="21"/>
        </w:rPr>
        <w:t>运用DEAP（Version2.1）软件定量评估2008年至2016年中国对上海合作组织国家的投资效率（经济联系的加强程度），具体方法选择多阶段、投入导向及规模可变的DEA模型。表4给出了计算结果，其中EFF表示技术效率，又称综合技术效率，是衡量投资效率的综合指标。PE表示纯技术效率，SE表示规模效率，EFF的值是PE与SE的乘积。RTS表示规模收益，即处于规模报酬递增阶段（</w:t>
      </w:r>
      <w:proofErr w:type="spellStart"/>
      <w:r w:rsidRPr="00A425C1">
        <w:rPr>
          <w:rFonts w:ascii="宋体" w:hAnsi="宋体" w:hint="eastAsia"/>
          <w:szCs w:val="21"/>
        </w:rPr>
        <w:t>irs</w:t>
      </w:r>
      <w:proofErr w:type="spellEnd"/>
      <w:r w:rsidRPr="00A425C1">
        <w:rPr>
          <w:rFonts w:ascii="宋体" w:hAnsi="宋体" w:hint="eastAsia"/>
          <w:szCs w:val="21"/>
        </w:rPr>
        <w:t>）、规模报酬不变阶段（-），还是规模报酬递减阶段（</w:t>
      </w:r>
      <w:proofErr w:type="spellStart"/>
      <w:r w:rsidRPr="00A425C1">
        <w:rPr>
          <w:rFonts w:ascii="宋体" w:hAnsi="宋体" w:hint="eastAsia"/>
          <w:szCs w:val="21"/>
        </w:rPr>
        <w:t>drs</w:t>
      </w:r>
      <w:proofErr w:type="spellEnd"/>
      <w:r w:rsidRPr="00A425C1">
        <w:rPr>
          <w:rFonts w:ascii="宋体" w:hAnsi="宋体" w:hint="eastAsia"/>
          <w:szCs w:val="21"/>
        </w:rPr>
        <w:t>）。</w:t>
      </w:r>
    </w:p>
    <w:p w:rsidR="00051959" w:rsidRPr="00A425C1" w:rsidRDefault="00051959" w:rsidP="00202FED">
      <w:pPr>
        <w:ind w:firstLine="420"/>
        <w:rPr>
          <w:rFonts w:ascii="宋体" w:hAnsi="宋体"/>
          <w:szCs w:val="21"/>
        </w:rPr>
      </w:pPr>
      <w:r w:rsidRPr="00A425C1">
        <w:rPr>
          <w:rFonts w:ascii="宋体" w:hAnsi="宋体" w:hint="eastAsia"/>
          <w:szCs w:val="21"/>
        </w:rPr>
        <w:t>在2008-2016年这9年的观察期中，中国对上海合作组织国家投资效率表现出DEA无效（即EFF小于1的情况）的国家包括塔吉克斯坦、乌兹别克斯坦和俄罗斯。其中，塔吉克斯坦只在2008年出现了DEA无效，</w:t>
      </w:r>
      <w:bookmarkStart w:id="5" w:name="OLE_LINK5"/>
      <w:bookmarkStart w:id="6" w:name="OLE_LINK6"/>
      <w:r w:rsidRPr="00A425C1">
        <w:rPr>
          <w:rFonts w:ascii="宋体" w:hAnsi="宋体" w:hint="eastAsia"/>
          <w:szCs w:val="21"/>
        </w:rPr>
        <w:t>导致DEA无效的原因是规模效率（SE小于1）低下，</w:t>
      </w:r>
      <w:bookmarkEnd w:id="5"/>
      <w:bookmarkEnd w:id="6"/>
      <w:r w:rsidRPr="00A425C1">
        <w:rPr>
          <w:rFonts w:ascii="宋体" w:hAnsi="宋体" w:hint="eastAsia"/>
          <w:szCs w:val="21"/>
        </w:rPr>
        <w:t>根据规模收益的计算结果，目前处于规模报酬递增阶段，应该增加投资。乌兹别克斯坦除2016年是DEA有效的，其他年份都表现出DEA无效，导致DEA无效的原因同样是因为规模效率低下，应该增加投资。俄罗斯在每一年都表现出DEA无效，也就是说，中国对俄罗斯的直接投资并没有导致两国经济联系加强很深。从模型计算结果来看，这既有纯技术效率（PE小于1）的原因，也有规模效率（SE小于1）的原因。更深入地分析，可能的原因包括三方面：第一，中国与俄罗斯的空间距离较远，两国首都直线距离为5809公里，是所有上海合作组织国家与中国距离最远的，这导致空间经济联系度相对较小。第二，GDP体量和人口总量与印度相比较小，这也导致空间经济联系度不大，尽管中国对俄罗斯的直接投资是上海合作组织国家中最多的，但相较于空间经济联系这一指标依然显得没有效率。第三，贸易强度指数方面，</w:t>
      </w:r>
      <w:r w:rsidRPr="00A425C1">
        <w:rPr>
          <w:rFonts w:ascii="宋体" w:hAnsi="宋体" w:hint="eastAsia"/>
          <w:szCs w:val="21"/>
        </w:rPr>
        <w:lastRenderedPageBreak/>
        <w:t>尽管中国是俄罗斯的最大进口国，但荷兰是俄罗斯的最大出口国；由于俄罗斯的主要出口产品是能源、矿产等，这导致俄罗斯对荷兰的出口占总出口的比重达到50%左右；这使得俄罗斯与中国贸易强度指数不如中亚国家与中国的紧密，甚至不如巴基斯坦。</w:t>
      </w:r>
    </w:p>
    <w:p w:rsidR="00051959" w:rsidRPr="00A425C1" w:rsidRDefault="00051959" w:rsidP="00202FED">
      <w:pPr>
        <w:ind w:firstLine="420"/>
        <w:rPr>
          <w:rFonts w:ascii="宋体" w:hAnsi="宋体"/>
          <w:szCs w:val="21"/>
        </w:rPr>
      </w:pPr>
    </w:p>
    <w:p w:rsidR="00051959" w:rsidRPr="00A425C1" w:rsidRDefault="00051959" w:rsidP="007C46FA">
      <w:pPr>
        <w:ind w:firstLine="420"/>
        <w:jc w:val="center"/>
        <w:rPr>
          <w:rFonts w:ascii="宋体" w:hAnsi="宋体"/>
          <w:szCs w:val="21"/>
        </w:rPr>
      </w:pPr>
      <w:r w:rsidRPr="00A425C1">
        <w:rPr>
          <w:rFonts w:ascii="宋体" w:hAnsi="宋体" w:hint="eastAsia"/>
          <w:szCs w:val="21"/>
        </w:rPr>
        <w:t>表4  中国对上海合作组织国家投资效率评价结果</w:t>
      </w:r>
    </w:p>
    <w:tbl>
      <w:tblPr>
        <w:tblW w:w="9113" w:type="dxa"/>
        <w:tblInd w:w="-176" w:type="dxa"/>
        <w:tblLook w:val="04A0"/>
      </w:tblPr>
      <w:tblGrid>
        <w:gridCol w:w="1616"/>
        <w:gridCol w:w="636"/>
        <w:gridCol w:w="636"/>
        <w:gridCol w:w="636"/>
        <w:gridCol w:w="588"/>
        <w:gridCol w:w="759"/>
        <w:gridCol w:w="636"/>
        <w:gridCol w:w="636"/>
        <w:gridCol w:w="531"/>
        <w:gridCol w:w="636"/>
        <w:gridCol w:w="636"/>
        <w:gridCol w:w="636"/>
        <w:gridCol w:w="531"/>
      </w:tblGrid>
      <w:tr w:rsidR="00051959" w:rsidRPr="00D012A6" w:rsidTr="007C46FA">
        <w:trPr>
          <w:trHeight w:val="202"/>
        </w:trPr>
        <w:tc>
          <w:tcPr>
            <w:tcW w:w="1616" w:type="dxa"/>
            <w:vMerge w:val="restart"/>
            <w:tcBorders>
              <w:top w:val="single" w:sz="8" w:space="0" w:color="auto"/>
              <w:left w:val="nil"/>
              <w:bottom w:val="single" w:sz="8" w:space="0" w:color="000000"/>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国家</w:t>
            </w:r>
          </w:p>
        </w:tc>
        <w:tc>
          <w:tcPr>
            <w:tcW w:w="2496" w:type="dxa"/>
            <w:gridSpan w:val="4"/>
            <w:tcBorders>
              <w:top w:val="single" w:sz="8" w:space="0" w:color="auto"/>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2008</w:t>
            </w:r>
          </w:p>
        </w:tc>
        <w:tc>
          <w:tcPr>
            <w:tcW w:w="2562" w:type="dxa"/>
            <w:gridSpan w:val="4"/>
            <w:tcBorders>
              <w:top w:val="single" w:sz="8" w:space="0" w:color="auto"/>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2009</w:t>
            </w:r>
          </w:p>
        </w:tc>
        <w:tc>
          <w:tcPr>
            <w:tcW w:w="2439" w:type="dxa"/>
            <w:gridSpan w:val="4"/>
            <w:tcBorders>
              <w:top w:val="single" w:sz="8" w:space="0" w:color="auto"/>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2010</w:t>
            </w:r>
          </w:p>
        </w:tc>
      </w:tr>
      <w:tr w:rsidR="00051959" w:rsidRPr="00D012A6" w:rsidTr="007C46FA">
        <w:trPr>
          <w:trHeight w:val="122"/>
        </w:trPr>
        <w:tc>
          <w:tcPr>
            <w:tcW w:w="1616" w:type="dxa"/>
            <w:vMerge/>
            <w:tcBorders>
              <w:top w:val="single" w:sz="8" w:space="0" w:color="auto"/>
              <w:left w:val="nil"/>
              <w:bottom w:val="single" w:sz="8" w:space="0" w:color="000000"/>
              <w:right w:val="nil"/>
            </w:tcBorders>
            <w:shd w:val="clear" w:color="auto" w:fill="auto"/>
            <w:vAlign w:val="center"/>
            <w:hideMark/>
          </w:tcPr>
          <w:p w:rsidR="00051959" w:rsidRPr="00D012A6" w:rsidRDefault="00051959" w:rsidP="00D012A6">
            <w:pPr>
              <w:widowControl/>
              <w:jc w:val="left"/>
              <w:rPr>
                <w:rFonts w:ascii="宋体" w:hAnsi="宋体" w:cs="宋体"/>
                <w:color w:val="000000"/>
                <w:kern w:val="0"/>
                <w:szCs w:val="21"/>
              </w:rPr>
            </w:pPr>
          </w:p>
        </w:tc>
        <w:tc>
          <w:tcPr>
            <w:tcW w:w="636" w:type="dxa"/>
            <w:tcBorders>
              <w:top w:val="nil"/>
              <w:left w:val="nil"/>
              <w:bottom w:val="single" w:sz="8" w:space="0" w:color="auto"/>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EFF</w:t>
            </w:r>
          </w:p>
        </w:tc>
        <w:tc>
          <w:tcPr>
            <w:tcW w:w="0" w:type="auto"/>
            <w:tcBorders>
              <w:top w:val="single" w:sz="4" w:space="0" w:color="auto"/>
              <w:left w:val="nil"/>
              <w:bottom w:val="single" w:sz="8" w:space="0" w:color="auto"/>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PE</w:t>
            </w:r>
          </w:p>
        </w:tc>
        <w:tc>
          <w:tcPr>
            <w:tcW w:w="0" w:type="auto"/>
            <w:tcBorders>
              <w:top w:val="single" w:sz="4" w:space="0" w:color="auto"/>
              <w:left w:val="nil"/>
              <w:bottom w:val="single" w:sz="8" w:space="0" w:color="auto"/>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SE</w:t>
            </w:r>
          </w:p>
        </w:tc>
        <w:tc>
          <w:tcPr>
            <w:tcW w:w="588" w:type="dxa"/>
            <w:tcBorders>
              <w:top w:val="nil"/>
              <w:left w:val="nil"/>
              <w:bottom w:val="single" w:sz="8" w:space="0" w:color="auto"/>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RTS</w:t>
            </w:r>
          </w:p>
        </w:tc>
        <w:tc>
          <w:tcPr>
            <w:tcW w:w="759" w:type="dxa"/>
            <w:tcBorders>
              <w:top w:val="nil"/>
              <w:left w:val="nil"/>
              <w:bottom w:val="single" w:sz="8" w:space="0" w:color="auto"/>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EFF</w:t>
            </w:r>
          </w:p>
        </w:tc>
        <w:tc>
          <w:tcPr>
            <w:tcW w:w="0" w:type="auto"/>
            <w:tcBorders>
              <w:top w:val="single" w:sz="4" w:space="0" w:color="auto"/>
              <w:left w:val="nil"/>
              <w:bottom w:val="single" w:sz="8" w:space="0" w:color="auto"/>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PE</w:t>
            </w:r>
          </w:p>
        </w:tc>
        <w:tc>
          <w:tcPr>
            <w:tcW w:w="0" w:type="auto"/>
            <w:tcBorders>
              <w:top w:val="single" w:sz="4" w:space="0" w:color="auto"/>
              <w:left w:val="nil"/>
              <w:bottom w:val="single" w:sz="8" w:space="0" w:color="auto"/>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SE</w:t>
            </w:r>
          </w:p>
        </w:tc>
        <w:tc>
          <w:tcPr>
            <w:tcW w:w="0" w:type="auto"/>
            <w:tcBorders>
              <w:top w:val="nil"/>
              <w:left w:val="nil"/>
              <w:bottom w:val="single" w:sz="8" w:space="0" w:color="auto"/>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RTS</w:t>
            </w:r>
          </w:p>
        </w:tc>
        <w:tc>
          <w:tcPr>
            <w:tcW w:w="0" w:type="auto"/>
            <w:tcBorders>
              <w:top w:val="nil"/>
              <w:left w:val="nil"/>
              <w:bottom w:val="single" w:sz="8" w:space="0" w:color="auto"/>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EFF</w:t>
            </w:r>
          </w:p>
        </w:tc>
        <w:tc>
          <w:tcPr>
            <w:tcW w:w="0" w:type="auto"/>
            <w:tcBorders>
              <w:top w:val="single" w:sz="4" w:space="0" w:color="auto"/>
              <w:left w:val="nil"/>
              <w:bottom w:val="single" w:sz="8" w:space="0" w:color="auto"/>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PE</w:t>
            </w:r>
          </w:p>
        </w:tc>
        <w:tc>
          <w:tcPr>
            <w:tcW w:w="0" w:type="auto"/>
            <w:tcBorders>
              <w:top w:val="single" w:sz="4" w:space="0" w:color="auto"/>
              <w:left w:val="nil"/>
              <w:bottom w:val="single" w:sz="8" w:space="0" w:color="auto"/>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SE</w:t>
            </w:r>
          </w:p>
        </w:tc>
        <w:tc>
          <w:tcPr>
            <w:tcW w:w="531" w:type="dxa"/>
            <w:tcBorders>
              <w:top w:val="nil"/>
              <w:left w:val="nil"/>
              <w:bottom w:val="single" w:sz="8" w:space="0" w:color="auto"/>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RTS</w:t>
            </w:r>
          </w:p>
        </w:tc>
      </w:tr>
      <w:tr w:rsidR="00051959" w:rsidRPr="00D012A6" w:rsidTr="007C46FA">
        <w:trPr>
          <w:trHeight w:val="288"/>
        </w:trPr>
        <w:tc>
          <w:tcPr>
            <w:tcW w:w="1616"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哈萨克斯坦</w:t>
            </w:r>
          </w:p>
        </w:tc>
        <w:tc>
          <w:tcPr>
            <w:tcW w:w="636"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588"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w:t>
            </w:r>
          </w:p>
        </w:tc>
        <w:tc>
          <w:tcPr>
            <w:tcW w:w="759"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531"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w:t>
            </w:r>
          </w:p>
        </w:tc>
      </w:tr>
      <w:tr w:rsidR="00051959" w:rsidRPr="00D012A6" w:rsidTr="007C46FA">
        <w:trPr>
          <w:trHeight w:val="288"/>
        </w:trPr>
        <w:tc>
          <w:tcPr>
            <w:tcW w:w="1616"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吉尔吉斯斯坦</w:t>
            </w:r>
          </w:p>
        </w:tc>
        <w:tc>
          <w:tcPr>
            <w:tcW w:w="636"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588"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w:t>
            </w:r>
          </w:p>
        </w:tc>
        <w:tc>
          <w:tcPr>
            <w:tcW w:w="759"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531"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w:t>
            </w:r>
          </w:p>
        </w:tc>
      </w:tr>
      <w:tr w:rsidR="00051959" w:rsidRPr="00D012A6" w:rsidTr="007C46FA">
        <w:trPr>
          <w:trHeight w:val="288"/>
        </w:trPr>
        <w:tc>
          <w:tcPr>
            <w:tcW w:w="1616"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塔吉克斯坦</w:t>
            </w:r>
          </w:p>
        </w:tc>
        <w:tc>
          <w:tcPr>
            <w:tcW w:w="636"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0.71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0.71 </w:t>
            </w:r>
          </w:p>
        </w:tc>
        <w:tc>
          <w:tcPr>
            <w:tcW w:w="588"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proofErr w:type="spellStart"/>
            <w:r w:rsidRPr="00D012A6">
              <w:rPr>
                <w:rFonts w:ascii="宋体" w:hAnsi="宋体" w:cs="宋体" w:hint="eastAsia"/>
                <w:color w:val="000000"/>
                <w:kern w:val="0"/>
                <w:szCs w:val="21"/>
              </w:rPr>
              <w:t>irs</w:t>
            </w:r>
            <w:proofErr w:type="spellEnd"/>
          </w:p>
        </w:tc>
        <w:tc>
          <w:tcPr>
            <w:tcW w:w="759"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531"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w:t>
            </w:r>
          </w:p>
        </w:tc>
      </w:tr>
      <w:tr w:rsidR="00051959" w:rsidRPr="00D012A6" w:rsidTr="007C46FA">
        <w:trPr>
          <w:trHeight w:val="288"/>
        </w:trPr>
        <w:tc>
          <w:tcPr>
            <w:tcW w:w="1616"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乌兹别克斯坦</w:t>
            </w:r>
          </w:p>
        </w:tc>
        <w:tc>
          <w:tcPr>
            <w:tcW w:w="636"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0.48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0.48 </w:t>
            </w:r>
          </w:p>
        </w:tc>
        <w:tc>
          <w:tcPr>
            <w:tcW w:w="588"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proofErr w:type="spellStart"/>
            <w:r w:rsidRPr="00D012A6">
              <w:rPr>
                <w:rFonts w:ascii="宋体" w:hAnsi="宋体" w:cs="宋体" w:hint="eastAsia"/>
                <w:color w:val="000000"/>
                <w:kern w:val="0"/>
                <w:szCs w:val="21"/>
              </w:rPr>
              <w:t>irs</w:t>
            </w:r>
            <w:proofErr w:type="spellEnd"/>
          </w:p>
        </w:tc>
        <w:tc>
          <w:tcPr>
            <w:tcW w:w="759"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0.76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0.76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proofErr w:type="spellStart"/>
            <w:r w:rsidRPr="00D012A6">
              <w:rPr>
                <w:rFonts w:ascii="宋体" w:hAnsi="宋体" w:cs="宋体" w:hint="eastAsia"/>
                <w:color w:val="000000"/>
                <w:kern w:val="0"/>
                <w:szCs w:val="21"/>
              </w:rPr>
              <w:t>irs</w:t>
            </w:r>
            <w:proofErr w:type="spellEnd"/>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0.57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0.57 </w:t>
            </w:r>
          </w:p>
        </w:tc>
        <w:tc>
          <w:tcPr>
            <w:tcW w:w="531"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proofErr w:type="spellStart"/>
            <w:r w:rsidRPr="00D012A6">
              <w:rPr>
                <w:rFonts w:ascii="宋体" w:hAnsi="宋体" w:cs="宋体" w:hint="eastAsia"/>
                <w:color w:val="000000"/>
                <w:kern w:val="0"/>
                <w:szCs w:val="21"/>
              </w:rPr>
              <w:t>irs</w:t>
            </w:r>
            <w:proofErr w:type="spellEnd"/>
          </w:p>
        </w:tc>
      </w:tr>
      <w:tr w:rsidR="00051959" w:rsidRPr="00D012A6" w:rsidTr="007C46FA">
        <w:trPr>
          <w:trHeight w:val="288"/>
        </w:trPr>
        <w:tc>
          <w:tcPr>
            <w:tcW w:w="1616"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印度</w:t>
            </w:r>
          </w:p>
        </w:tc>
        <w:tc>
          <w:tcPr>
            <w:tcW w:w="636"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588"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w:t>
            </w:r>
          </w:p>
        </w:tc>
        <w:tc>
          <w:tcPr>
            <w:tcW w:w="759"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531"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w:t>
            </w:r>
          </w:p>
        </w:tc>
      </w:tr>
      <w:tr w:rsidR="00051959" w:rsidRPr="00D012A6" w:rsidTr="007C46FA">
        <w:trPr>
          <w:trHeight w:val="288"/>
        </w:trPr>
        <w:tc>
          <w:tcPr>
            <w:tcW w:w="1616"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俄罗斯</w:t>
            </w:r>
          </w:p>
        </w:tc>
        <w:tc>
          <w:tcPr>
            <w:tcW w:w="636"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0.23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0.95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0.24 </w:t>
            </w:r>
          </w:p>
        </w:tc>
        <w:tc>
          <w:tcPr>
            <w:tcW w:w="588"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proofErr w:type="spellStart"/>
            <w:r w:rsidRPr="00D012A6">
              <w:rPr>
                <w:rFonts w:ascii="宋体" w:hAnsi="宋体" w:cs="宋体" w:hint="eastAsia"/>
                <w:color w:val="000000"/>
                <w:kern w:val="0"/>
                <w:szCs w:val="21"/>
              </w:rPr>
              <w:t>irs</w:t>
            </w:r>
            <w:proofErr w:type="spellEnd"/>
          </w:p>
        </w:tc>
        <w:tc>
          <w:tcPr>
            <w:tcW w:w="759"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0.43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0.93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0.46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proofErr w:type="spellStart"/>
            <w:r w:rsidRPr="00D012A6">
              <w:rPr>
                <w:rFonts w:ascii="宋体" w:hAnsi="宋体" w:cs="宋体" w:hint="eastAsia"/>
                <w:color w:val="000000"/>
                <w:kern w:val="0"/>
                <w:szCs w:val="21"/>
              </w:rPr>
              <w:t>irs</w:t>
            </w:r>
            <w:proofErr w:type="spellEnd"/>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0.19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0.89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0.22 </w:t>
            </w:r>
          </w:p>
        </w:tc>
        <w:tc>
          <w:tcPr>
            <w:tcW w:w="531"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proofErr w:type="spellStart"/>
            <w:r w:rsidRPr="00D012A6">
              <w:rPr>
                <w:rFonts w:ascii="宋体" w:hAnsi="宋体" w:cs="宋体" w:hint="eastAsia"/>
                <w:color w:val="000000"/>
                <w:kern w:val="0"/>
                <w:szCs w:val="21"/>
              </w:rPr>
              <w:t>irs</w:t>
            </w:r>
            <w:proofErr w:type="spellEnd"/>
          </w:p>
        </w:tc>
      </w:tr>
      <w:tr w:rsidR="00051959" w:rsidRPr="00D012A6" w:rsidTr="007C46FA">
        <w:trPr>
          <w:trHeight w:val="300"/>
        </w:trPr>
        <w:tc>
          <w:tcPr>
            <w:tcW w:w="1616"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巴基斯坦</w:t>
            </w:r>
          </w:p>
        </w:tc>
        <w:tc>
          <w:tcPr>
            <w:tcW w:w="636"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588"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w:t>
            </w:r>
          </w:p>
        </w:tc>
        <w:tc>
          <w:tcPr>
            <w:tcW w:w="759"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531"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w:t>
            </w:r>
          </w:p>
        </w:tc>
      </w:tr>
      <w:tr w:rsidR="00051959" w:rsidRPr="00D012A6" w:rsidTr="007C46FA">
        <w:trPr>
          <w:trHeight w:val="300"/>
        </w:trPr>
        <w:tc>
          <w:tcPr>
            <w:tcW w:w="1616" w:type="dxa"/>
            <w:vMerge w:val="restart"/>
            <w:tcBorders>
              <w:top w:val="single" w:sz="8" w:space="0" w:color="auto"/>
              <w:left w:val="nil"/>
              <w:bottom w:val="single" w:sz="8" w:space="0" w:color="000000"/>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国家</w:t>
            </w:r>
          </w:p>
        </w:tc>
        <w:tc>
          <w:tcPr>
            <w:tcW w:w="2496" w:type="dxa"/>
            <w:gridSpan w:val="4"/>
            <w:tcBorders>
              <w:top w:val="single" w:sz="8" w:space="0" w:color="auto"/>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2011</w:t>
            </w:r>
          </w:p>
        </w:tc>
        <w:tc>
          <w:tcPr>
            <w:tcW w:w="2562" w:type="dxa"/>
            <w:gridSpan w:val="4"/>
            <w:tcBorders>
              <w:top w:val="single" w:sz="8" w:space="0" w:color="auto"/>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2012</w:t>
            </w:r>
          </w:p>
        </w:tc>
        <w:tc>
          <w:tcPr>
            <w:tcW w:w="2439" w:type="dxa"/>
            <w:gridSpan w:val="4"/>
            <w:tcBorders>
              <w:top w:val="single" w:sz="8" w:space="0" w:color="auto"/>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2013</w:t>
            </w:r>
          </w:p>
        </w:tc>
      </w:tr>
      <w:tr w:rsidR="00051959" w:rsidRPr="00D012A6" w:rsidTr="007C46FA">
        <w:trPr>
          <w:trHeight w:val="300"/>
        </w:trPr>
        <w:tc>
          <w:tcPr>
            <w:tcW w:w="1616" w:type="dxa"/>
            <w:vMerge/>
            <w:tcBorders>
              <w:top w:val="single" w:sz="8" w:space="0" w:color="auto"/>
              <w:left w:val="nil"/>
              <w:bottom w:val="single" w:sz="8" w:space="0" w:color="000000"/>
              <w:right w:val="nil"/>
            </w:tcBorders>
            <w:shd w:val="clear" w:color="auto" w:fill="auto"/>
            <w:vAlign w:val="center"/>
            <w:hideMark/>
          </w:tcPr>
          <w:p w:rsidR="00051959" w:rsidRPr="00D012A6" w:rsidRDefault="00051959" w:rsidP="00D012A6">
            <w:pPr>
              <w:widowControl/>
              <w:jc w:val="left"/>
              <w:rPr>
                <w:rFonts w:ascii="宋体" w:hAnsi="宋体" w:cs="宋体"/>
                <w:color w:val="000000"/>
                <w:kern w:val="0"/>
                <w:szCs w:val="21"/>
              </w:rPr>
            </w:pPr>
          </w:p>
        </w:tc>
        <w:tc>
          <w:tcPr>
            <w:tcW w:w="636" w:type="dxa"/>
            <w:tcBorders>
              <w:top w:val="nil"/>
              <w:left w:val="nil"/>
              <w:bottom w:val="single" w:sz="8" w:space="0" w:color="auto"/>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EFF</w:t>
            </w:r>
          </w:p>
        </w:tc>
        <w:tc>
          <w:tcPr>
            <w:tcW w:w="0" w:type="auto"/>
            <w:tcBorders>
              <w:top w:val="single" w:sz="4" w:space="0" w:color="auto"/>
              <w:left w:val="nil"/>
              <w:bottom w:val="single" w:sz="8" w:space="0" w:color="auto"/>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PE</w:t>
            </w:r>
          </w:p>
        </w:tc>
        <w:tc>
          <w:tcPr>
            <w:tcW w:w="0" w:type="auto"/>
            <w:tcBorders>
              <w:top w:val="single" w:sz="4" w:space="0" w:color="auto"/>
              <w:left w:val="nil"/>
              <w:bottom w:val="single" w:sz="8" w:space="0" w:color="auto"/>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SE</w:t>
            </w:r>
          </w:p>
        </w:tc>
        <w:tc>
          <w:tcPr>
            <w:tcW w:w="588" w:type="dxa"/>
            <w:tcBorders>
              <w:top w:val="nil"/>
              <w:left w:val="nil"/>
              <w:bottom w:val="single" w:sz="8" w:space="0" w:color="auto"/>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RTS</w:t>
            </w:r>
          </w:p>
        </w:tc>
        <w:tc>
          <w:tcPr>
            <w:tcW w:w="759" w:type="dxa"/>
            <w:tcBorders>
              <w:top w:val="nil"/>
              <w:left w:val="nil"/>
              <w:bottom w:val="single" w:sz="8" w:space="0" w:color="auto"/>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EFF</w:t>
            </w:r>
          </w:p>
        </w:tc>
        <w:tc>
          <w:tcPr>
            <w:tcW w:w="0" w:type="auto"/>
            <w:tcBorders>
              <w:top w:val="single" w:sz="4" w:space="0" w:color="auto"/>
              <w:left w:val="nil"/>
              <w:bottom w:val="single" w:sz="8" w:space="0" w:color="auto"/>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PE</w:t>
            </w:r>
          </w:p>
        </w:tc>
        <w:tc>
          <w:tcPr>
            <w:tcW w:w="0" w:type="auto"/>
            <w:tcBorders>
              <w:top w:val="single" w:sz="4" w:space="0" w:color="auto"/>
              <w:left w:val="nil"/>
              <w:bottom w:val="single" w:sz="8" w:space="0" w:color="auto"/>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SE</w:t>
            </w:r>
          </w:p>
        </w:tc>
        <w:tc>
          <w:tcPr>
            <w:tcW w:w="0" w:type="auto"/>
            <w:tcBorders>
              <w:top w:val="nil"/>
              <w:left w:val="nil"/>
              <w:bottom w:val="single" w:sz="8" w:space="0" w:color="auto"/>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RTS</w:t>
            </w:r>
          </w:p>
        </w:tc>
        <w:tc>
          <w:tcPr>
            <w:tcW w:w="0" w:type="auto"/>
            <w:tcBorders>
              <w:top w:val="nil"/>
              <w:left w:val="nil"/>
              <w:bottom w:val="single" w:sz="8" w:space="0" w:color="auto"/>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EFF</w:t>
            </w:r>
          </w:p>
        </w:tc>
        <w:tc>
          <w:tcPr>
            <w:tcW w:w="0" w:type="auto"/>
            <w:tcBorders>
              <w:top w:val="single" w:sz="4" w:space="0" w:color="auto"/>
              <w:left w:val="nil"/>
              <w:bottom w:val="single" w:sz="8" w:space="0" w:color="auto"/>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PE</w:t>
            </w:r>
          </w:p>
        </w:tc>
        <w:tc>
          <w:tcPr>
            <w:tcW w:w="0" w:type="auto"/>
            <w:tcBorders>
              <w:top w:val="single" w:sz="4" w:space="0" w:color="auto"/>
              <w:left w:val="nil"/>
              <w:bottom w:val="single" w:sz="8" w:space="0" w:color="auto"/>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SE</w:t>
            </w:r>
          </w:p>
        </w:tc>
        <w:tc>
          <w:tcPr>
            <w:tcW w:w="531" w:type="dxa"/>
            <w:tcBorders>
              <w:top w:val="nil"/>
              <w:left w:val="nil"/>
              <w:bottom w:val="single" w:sz="8" w:space="0" w:color="auto"/>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RTS</w:t>
            </w:r>
          </w:p>
        </w:tc>
      </w:tr>
      <w:tr w:rsidR="00051959" w:rsidRPr="00D012A6" w:rsidTr="007C46FA">
        <w:trPr>
          <w:trHeight w:val="300"/>
        </w:trPr>
        <w:tc>
          <w:tcPr>
            <w:tcW w:w="1616"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哈萨克斯坦</w:t>
            </w:r>
          </w:p>
        </w:tc>
        <w:tc>
          <w:tcPr>
            <w:tcW w:w="636"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588"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w:t>
            </w:r>
          </w:p>
        </w:tc>
        <w:tc>
          <w:tcPr>
            <w:tcW w:w="759"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531"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w:t>
            </w:r>
          </w:p>
        </w:tc>
      </w:tr>
      <w:tr w:rsidR="00051959" w:rsidRPr="00D012A6" w:rsidTr="007C46FA">
        <w:trPr>
          <w:trHeight w:val="288"/>
        </w:trPr>
        <w:tc>
          <w:tcPr>
            <w:tcW w:w="1616"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吉尔吉斯斯坦</w:t>
            </w:r>
          </w:p>
        </w:tc>
        <w:tc>
          <w:tcPr>
            <w:tcW w:w="636"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588"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w:t>
            </w:r>
          </w:p>
        </w:tc>
        <w:tc>
          <w:tcPr>
            <w:tcW w:w="759"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531"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w:t>
            </w:r>
          </w:p>
        </w:tc>
      </w:tr>
      <w:tr w:rsidR="00051959" w:rsidRPr="00D012A6" w:rsidTr="007C46FA">
        <w:trPr>
          <w:trHeight w:val="288"/>
        </w:trPr>
        <w:tc>
          <w:tcPr>
            <w:tcW w:w="1616"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塔吉克斯坦</w:t>
            </w:r>
          </w:p>
        </w:tc>
        <w:tc>
          <w:tcPr>
            <w:tcW w:w="636"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588"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w:t>
            </w:r>
          </w:p>
        </w:tc>
        <w:tc>
          <w:tcPr>
            <w:tcW w:w="759"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531"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w:t>
            </w:r>
          </w:p>
        </w:tc>
      </w:tr>
      <w:tr w:rsidR="00051959" w:rsidRPr="00D012A6" w:rsidTr="007C46FA">
        <w:trPr>
          <w:trHeight w:val="288"/>
        </w:trPr>
        <w:tc>
          <w:tcPr>
            <w:tcW w:w="1616"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乌兹别克斯坦</w:t>
            </w:r>
          </w:p>
        </w:tc>
        <w:tc>
          <w:tcPr>
            <w:tcW w:w="636"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0.57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0.57 </w:t>
            </w:r>
          </w:p>
        </w:tc>
        <w:tc>
          <w:tcPr>
            <w:tcW w:w="588"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proofErr w:type="spellStart"/>
            <w:r w:rsidRPr="00D012A6">
              <w:rPr>
                <w:rFonts w:ascii="宋体" w:hAnsi="宋体" w:cs="宋体" w:hint="eastAsia"/>
                <w:color w:val="000000"/>
                <w:kern w:val="0"/>
                <w:szCs w:val="21"/>
              </w:rPr>
              <w:t>irs</w:t>
            </w:r>
            <w:proofErr w:type="spellEnd"/>
          </w:p>
        </w:tc>
        <w:tc>
          <w:tcPr>
            <w:tcW w:w="759"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0.61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0.61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proofErr w:type="spellStart"/>
            <w:r w:rsidRPr="00D012A6">
              <w:rPr>
                <w:rFonts w:ascii="宋体" w:hAnsi="宋体" w:cs="宋体" w:hint="eastAsia"/>
                <w:color w:val="000000"/>
                <w:kern w:val="0"/>
                <w:szCs w:val="21"/>
              </w:rPr>
              <w:t>irs</w:t>
            </w:r>
            <w:proofErr w:type="spellEnd"/>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0.63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0.63 </w:t>
            </w:r>
          </w:p>
        </w:tc>
        <w:tc>
          <w:tcPr>
            <w:tcW w:w="531"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proofErr w:type="spellStart"/>
            <w:r w:rsidRPr="00D012A6">
              <w:rPr>
                <w:rFonts w:ascii="宋体" w:hAnsi="宋体" w:cs="宋体" w:hint="eastAsia"/>
                <w:color w:val="000000"/>
                <w:kern w:val="0"/>
                <w:szCs w:val="21"/>
              </w:rPr>
              <w:t>irs</w:t>
            </w:r>
            <w:proofErr w:type="spellEnd"/>
          </w:p>
        </w:tc>
      </w:tr>
      <w:tr w:rsidR="00051959" w:rsidRPr="00D012A6" w:rsidTr="007C46FA">
        <w:trPr>
          <w:trHeight w:val="288"/>
        </w:trPr>
        <w:tc>
          <w:tcPr>
            <w:tcW w:w="1616"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印度</w:t>
            </w:r>
          </w:p>
        </w:tc>
        <w:tc>
          <w:tcPr>
            <w:tcW w:w="636"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588"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w:t>
            </w:r>
          </w:p>
        </w:tc>
        <w:tc>
          <w:tcPr>
            <w:tcW w:w="759"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531"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w:t>
            </w:r>
          </w:p>
        </w:tc>
      </w:tr>
      <w:tr w:rsidR="00051959" w:rsidRPr="00D012A6" w:rsidTr="007C46FA">
        <w:trPr>
          <w:trHeight w:val="288"/>
        </w:trPr>
        <w:tc>
          <w:tcPr>
            <w:tcW w:w="1616"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俄罗斯</w:t>
            </w:r>
          </w:p>
        </w:tc>
        <w:tc>
          <w:tcPr>
            <w:tcW w:w="636"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0.19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0.89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0.22 </w:t>
            </w:r>
          </w:p>
        </w:tc>
        <w:tc>
          <w:tcPr>
            <w:tcW w:w="588"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proofErr w:type="spellStart"/>
            <w:r w:rsidRPr="00D012A6">
              <w:rPr>
                <w:rFonts w:ascii="宋体" w:hAnsi="宋体" w:cs="宋体" w:hint="eastAsia"/>
                <w:color w:val="000000"/>
                <w:kern w:val="0"/>
                <w:szCs w:val="21"/>
              </w:rPr>
              <w:t>irs</w:t>
            </w:r>
            <w:proofErr w:type="spellEnd"/>
          </w:p>
        </w:tc>
        <w:tc>
          <w:tcPr>
            <w:tcW w:w="759"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0.19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0.88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0.21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proofErr w:type="spellStart"/>
            <w:r w:rsidRPr="00D012A6">
              <w:rPr>
                <w:rFonts w:ascii="宋体" w:hAnsi="宋体" w:cs="宋体" w:hint="eastAsia"/>
                <w:color w:val="000000"/>
                <w:kern w:val="0"/>
                <w:szCs w:val="21"/>
              </w:rPr>
              <w:t>irs</w:t>
            </w:r>
            <w:proofErr w:type="spellEnd"/>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0.19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0.89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0.21 </w:t>
            </w:r>
          </w:p>
        </w:tc>
        <w:tc>
          <w:tcPr>
            <w:tcW w:w="531"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proofErr w:type="spellStart"/>
            <w:r w:rsidRPr="00D012A6">
              <w:rPr>
                <w:rFonts w:ascii="宋体" w:hAnsi="宋体" w:cs="宋体" w:hint="eastAsia"/>
                <w:color w:val="000000"/>
                <w:kern w:val="0"/>
                <w:szCs w:val="21"/>
              </w:rPr>
              <w:t>irs</w:t>
            </w:r>
            <w:proofErr w:type="spellEnd"/>
          </w:p>
        </w:tc>
      </w:tr>
      <w:tr w:rsidR="00051959" w:rsidRPr="00D012A6" w:rsidTr="007C46FA">
        <w:trPr>
          <w:trHeight w:val="300"/>
        </w:trPr>
        <w:tc>
          <w:tcPr>
            <w:tcW w:w="1616"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巴基斯坦</w:t>
            </w:r>
          </w:p>
        </w:tc>
        <w:tc>
          <w:tcPr>
            <w:tcW w:w="636"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588"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w:t>
            </w:r>
          </w:p>
        </w:tc>
        <w:tc>
          <w:tcPr>
            <w:tcW w:w="759"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531"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w:t>
            </w:r>
          </w:p>
        </w:tc>
      </w:tr>
      <w:tr w:rsidR="00051959" w:rsidRPr="00D012A6" w:rsidTr="00A94DCF">
        <w:trPr>
          <w:trHeight w:val="288"/>
        </w:trPr>
        <w:tc>
          <w:tcPr>
            <w:tcW w:w="1616" w:type="dxa"/>
            <w:vMerge w:val="restart"/>
            <w:tcBorders>
              <w:top w:val="single" w:sz="8" w:space="0" w:color="auto"/>
              <w:left w:val="nil"/>
              <w:bottom w:val="single" w:sz="8" w:space="0" w:color="000000"/>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国家</w:t>
            </w:r>
          </w:p>
        </w:tc>
        <w:tc>
          <w:tcPr>
            <w:tcW w:w="2496" w:type="dxa"/>
            <w:gridSpan w:val="4"/>
            <w:tcBorders>
              <w:top w:val="single" w:sz="8" w:space="0" w:color="auto"/>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2014</w:t>
            </w:r>
          </w:p>
        </w:tc>
        <w:tc>
          <w:tcPr>
            <w:tcW w:w="2562" w:type="dxa"/>
            <w:gridSpan w:val="4"/>
            <w:tcBorders>
              <w:top w:val="single" w:sz="8" w:space="0" w:color="auto"/>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2015</w:t>
            </w:r>
          </w:p>
        </w:tc>
        <w:tc>
          <w:tcPr>
            <w:tcW w:w="2439" w:type="dxa"/>
            <w:gridSpan w:val="4"/>
            <w:tcBorders>
              <w:top w:val="single" w:sz="8" w:space="0" w:color="auto"/>
              <w:left w:val="nil"/>
              <w:bottom w:val="nil"/>
              <w:right w:val="nil"/>
            </w:tcBorders>
            <w:shd w:val="clear" w:color="auto" w:fill="auto"/>
            <w:noWrap/>
            <w:vAlign w:val="center"/>
            <w:hideMark/>
          </w:tcPr>
          <w:p w:rsidR="00051959" w:rsidRPr="00D012A6" w:rsidRDefault="00051959" w:rsidP="007C46FA">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2016　</w:t>
            </w:r>
          </w:p>
        </w:tc>
      </w:tr>
      <w:tr w:rsidR="00051959" w:rsidRPr="00D012A6" w:rsidTr="007C46FA">
        <w:trPr>
          <w:trHeight w:val="300"/>
        </w:trPr>
        <w:tc>
          <w:tcPr>
            <w:tcW w:w="1616" w:type="dxa"/>
            <w:vMerge/>
            <w:tcBorders>
              <w:top w:val="single" w:sz="8" w:space="0" w:color="auto"/>
              <w:left w:val="nil"/>
              <w:bottom w:val="single" w:sz="8" w:space="0" w:color="000000"/>
              <w:right w:val="nil"/>
            </w:tcBorders>
            <w:shd w:val="clear" w:color="auto" w:fill="auto"/>
            <w:vAlign w:val="center"/>
            <w:hideMark/>
          </w:tcPr>
          <w:p w:rsidR="00051959" w:rsidRPr="00D012A6" w:rsidRDefault="00051959" w:rsidP="00D012A6">
            <w:pPr>
              <w:widowControl/>
              <w:jc w:val="left"/>
              <w:rPr>
                <w:rFonts w:ascii="宋体" w:hAnsi="宋体" w:cs="宋体"/>
                <w:color w:val="000000"/>
                <w:kern w:val="0"/>
                <w:szCs w:val="21"/>
              </w:rPr>
            </w:pPr>
          </w:p>
        </w:tc>
        <w:tc>
          <w:tcPr>
            <w:tcW w:w="636" w:type="dxa"/>
            <w:tcBorders>
              <w:top w:val="nil"/>
              <w:left w:val="nil"/>
              <w:bottom w:val="single" w:sz="8" w:space="0" w:color="auto"/>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EFF</w:t>
            </w:r>
          </w:p>
        </w:tc>
        <w:tc>
          <w:tcPr>
            <w:tcW w:w="0" w:type="auto"/>
            <w:tcBorders>
              <w:top w:val="single" w:sz="4" w:space="0" w:color="auto"/>
              <w:left w:val="nil"/>
              <w:bottom w:val="single" w:sz="8" w:space="0" w:color="auto"/>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PE</w:t>
            </w:r>
          </w:p>
        </w:tc>
        <w:tc>
          <w:tcPr>
            <w:tcW w:w="0" w:type="auto"/>
            <w:tcBorders>
              <w:top w:val="single" w:sz="4" w:space="0" w:color="auto"/>
              <w:left w:val="nil"/>
              <w:bottom w:val="single" w:sz="8" w:space="0" w:color="auto"/>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SE</w:t>
            </w:r>
          </w:p>
        </w:tc>
        <w:tc>
          <w:tcPr>
            <w:tcW w:w="588" w:type="dxa"/>
            <w:tcBorders>
              <w:top w:val="nil"/>
              <w:left w:val="nil"/>
              <w:bottom w:val="single" w:sz="8" w:space="0" w:color="auto"/>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RTS</w:t>
            </w:r>
          </w:p>
        </w:tc>
        <w:tc>
          <w:tcPr>
            <w:tcW w:w="759" w:type="dxa"/>
            <w:tcBorders>
              <w:top w:val="nil"/>
              <w:left w:val="nil"/>
              <w:bottom w:val="single" w:sz="8" w:space="0" w:color="auto"/>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EFF</w:t>
            </w:r>
          </w:p>
        </w:tc>
        <w:tc>
          <w:tcPr>
            <w:tcW w:w="0" w:type="auto"/>
            <w:tcBorders>
              <w:top w:val="single" w:sz="4" w:space="0" w:color="auto"/>
              <w:left w:val="nil"/>
              <w:bottom w:val="single" w:sz="8" w:space="0" w:color="auto"/>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PE</w:t>
            </w:r>
          </w:p>
        </w:tc>
        <w:tc>
          <w:tcPr>
            <w:tcW w:w="0" w:type="auto"/>
            <w:tcBorders>
              <w:top w:val="single" w:sz="4" w:space="0" w:color="auto"/>
              <w:left w:val="nil"/>
              <w:bottom w:val="single" w:sz="8" w:space="0" w:color="auto"/>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SE</w:t>
            </w:r>
          </w:p>
        </w:tc>
        <w:tc>
          <w:tcPr>
            <w:tcW w:w="0" w:type="auto"/>
            <w:tcBorders>
              <w:top w:val="nil"/>
              <w:left w:val="nil"/>
              <w:bottom w:val="single" w:sz="8" w:space="0" w:color="auto"/>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RTS</w:t>
            </w:r>
          </w:p>
        </w:tc>
        <w:tc>
          <w:tcPr>
            <w:tcW w:w="0" w:type="auto"/>
            <w:tcBorders>
              <w:top w:val="nil"/>
              <w:left w:val="nil"/>
              <w:bottom w:val="single" w:sz="8" w:space="0" w:color="auto"/>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EFF</w:t>
            </w:r>
          </w:p>
        </w:tc>
        <w:tc>
          <w:tcPr>
            <w:tcW w:w="0" w:type="auto"/>
            <w:tcBorders>
              <w:top w:val="single" w:sz="4" w:space="0" w:color="auto"/>
              <w:left w:val="nil"/>
              <w:bottom w:val="single" w:sz="8" w:space="0" w:color="auto"/>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PE</w:t>
            </w:r>
          </w:p>
        </w:tc>
        <w:tc>
          <w:tcPr>
            <w:tcW w:w="0" w:type="auto"/>
            <w:tcBorders>
              <w:top w:val="single" w:sz="4" w:space="0" w:color="auto"/>
              <w:left w:val="nil"/>
              <w:bottom w:val="single" w:sz="8" w:space="0" w:color="auto"/>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SE</w:t>
            </w:r>
          </w:p>
        </w:tc>
        <w:tc>
          <w:tcPr>
            <w:tcW w:w="531" w:type="dxa"/>
            <w:tcBorders>
              <w:top w:val="nil"/>
              <w:left w:val="nil"/>
              <w:bottom w:val="single" w:sz="8" w:space="0" w:color="auto"/>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RTS</w:t>
            </w:r>
          </w:p>
        </w:tc>
      </w:tr>
      <w:tr w:rsidR="00051959" w:rsidRPr="00D012A6" w:rsidTr="007C46FA">
        <w:trPr>
          <w:trHeight w:val="288"/>
        </w:trPr>
        <w:tc>
          <w:tcPr>
            <w:tcW w:w="1616"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哈萨克斯坦</w:t>
            </w:r>
          </w:p>
        </w:tc>
        <w:tc>
          <w:tcPr>
            <w:tcW w:w="636"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588"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w:t>
            </w:r>
          </w:p>
        </w:tc>
        <w:tc>
          <w:tcPr>
            <w:tcW w:w="759"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531"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w:t>
            </w:r>
          </w:p>
        </w:tc>
      </w:tr>
      <w:tr w:rsidR="00051959" w:rsidRPr="00D012A6" w:rsidTr="007C46FA">
        <w:trPr>
          <w:trHeight w:val="288"/>
        </w:trPr>
        <w:tc>
          <w:tcPr>
            <w:tcW w:w="1616"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吉尔吉斯斯坦</w:t>
            </w:r>
          </w:p>
        </w:tc>
        <w:tc>
          <w:tcPr>
            <w:tcW w:w="636"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588"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w:t>
            </w:r>
          </w:p>
        </w:tc>
        <w:tc>
          <w:tcPr>
            <w:tcW w:w="759"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531"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w:t>
            </w:r>
          </w:p>
        </w:tc>
      </w:tr>
      <w:tr w:rsidR="00051959" w:rsidRPr="00D012A6" w:rsidTr="007C46FA">
        <w:trPr>
          <w:trHeight w:val="288"/>
        </w:trPr>
        <w:tc>
          <w:tcPr>
            <w:tcW w:w="1616"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塔吉克斯坦</w:t>
            </w:r>
          </w:p>
        </w:tc>
        <w:tc>
          <w:tcPr>
            <w:tcW w:w="636"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588"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w:t>
            </w:r>
          </w:p>
        </w:tc>
        <w:tc>
          <w:tcPr>
            <w:tcW w:w="759"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531"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w:t>
            </w:r>
          </w:p>
        </w:tc>
      </w:tr>
      <w:tr w:rsidR="00051959" w:rsidRPr="00D012A6" w:rsidTr="007C46FA">
        <w:trPr>
          <w:trHeight w:val="288"/>
        </w:trPr>
        <w:tc>
          <w:tcPr>
            <w:tcW w:w="1616"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乌兹别克斯坦</w:t>
            </w:r>
          </w:p>
        </w:tc>
        <w:tc>
          <w:tcPr>
            <w:tcW w:w="636"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0.59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0.59 </w:t>
            </w:r>
          </w:p>
        </w:tc>
        <w:tc>
          <w:tcPr>
            <w:tcW w:w="588"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proofErr w:type="spellStart"/>
            <w:r w:rsidRPr="00D012A6">
              <w:rPr>
                <w:rFonts w:ascii="宋体" w:hAnsi="宋体" w:cs="宋体" w:hint="eastAsia"/>
                <w:color w:val="000000"/>
                <w:kern w:val="0"/>
                <w:szCs w:val="21"/>
              </w:rPr>
              <w:t>irs</w:t>
            </w:r>
            <w:proofErr w:type="spellEnd"/>
          </w:p>
        </w:tc>
        <w:tc>
          <w:tcPr>
            <w:tcW w:w="759"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0.45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0.45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proofErr w:type="spellStart"/>
            <w:r w:rsidRPr="00D012A6">
              <w:rPr>
                <w:rFonts w:ascii="宋体" w:hAnsi="宋体" w:cs="宋体" w:hint="eastAsia"/>
                <w:color w:val="000000"/>
                <w:kern w:val="0"/>
                <w:szCs w:val="21"/>
              </w:rPr>
              <w:t>irs</w:t>
            </w:r>
            <w:proofErr w:type="spellEnd"/>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531"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w:t>
            </w:r>
          </w:p>
        </w:tc>
      </w:tr>
      <w:tr w:rsidR="00051959" w:rsidRPr="00D012A6" w:rsidTr="007C46FA">
        <w:trPr>
          <w:trHeight w:val="288"/>
        </w:trPr>
        <w:tc>
          <w:tcPr>
            <w:tcW w:w="1616"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印度</w:t>
            </w:r>
          </w:p>
        </w:tc>
        <w:tc>
          <w:tcPr>
            <w:tcW w:w="636"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588"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w:t>
            </w:r>
          </w:p>
        </w:tc>
        <w:tc>
          <w:tcPr>
            <w:tcW w:w="759"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531"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w:t>
            </w:r>
          </w:p>
        </w:tc>
      </w:tr>
      <w:tr w:rsidR="00051959" w:rsidRPr="00D012A6" w:rsidTr="007C46FA">
        <w:trPr>
          <w:trHeight w:val="288"/>
        </w:trPr>
        <w:tc>
          <w:tcPr>
            <w:tcW w:w="1616"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俄罗斯</w:t>
            </w:r>
          </w:p>
        </w:tc>
        <w:tc>
          <w:tcPr>
            <w:tcW w:w="636"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0.16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0.82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0.20 </w:t>
            </w:r>
          </w:p>
        </w:tc>
        <w:tc>
          <w:tcPr>
            <w:tcW w:w="588"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proofErr w:type="spellStart"/>
            <w:r w:rsidRPr="00D012A6">
              <w:rPr>
                <w:rFonts w:ascii="宋体" w:hAnsi="宋体" w:cs="宋体" w:hint="eastAsia"/>
                <w:color w:val="000000"/>
                <w:kern w:val="0"/>
                <w:szCs w:val="21"/>
              </w:rPr>
              <w:t>irs</w:t>
            </w:r>
            <w:proofErr w:type="spellEnd"/>
          </w:p>
        </w:tc>
        <w:tc>
          <w:tcPr>
            <w:tcW w:w="759"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0.15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0.85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0.18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proofErr w:type="spellStart"/>
            <w:r w:rsidRPr="00D012A6">
              <w:rPr>
                <w:rFonts w:ascii="宋体" w:hAnsi="宋体" w:cs="宋体" w:hint="eastAsia"/>
                <w:color w:val="000000"/>
                <w:kern w:val="0"/>
                <w:szCs w:val="21"/>
              </w:rPr>
              <w:t>irs</w:t>
            </w:r>
            <w:proofErr w:type="spellEnd"/>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0.70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0.87 </w:t>
            </w:r>
          </w:p>
        </w:tc>
        <w:tc>
          <w:tcPr>
            <w:tcW w:w="0" w:type="auto"/>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0.81 </w:t>
            </w:r>
          </w:p>
        </w:tc>
        <w:tc>
          <w:tcPr>
            <w:tcW w:w="531" w:type="dxa"/>
            <w:tcBorders>
              <w:top w:val="nil"/>
              <w:left w:val="nil"/>
              <w:bottom w:val="nil"/>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proofErr w:type="spellStart"/>
            <w:r w:rsidRPr="00D012A6">
              <w:rPr>
                <w:rFonts w:ascii="宋体" w:hAnsi="宋体" w:cs="宋体" w:hint="eastAsia"/>
                <w:color w:val="000000"/>
                <w:kern w:val="0"/>
                <w:szCs w:val="21"/>
              </w:rPr>
              <w:t>irs</w:t>
            </w:r>
            <w:proofErr w:type="spellEnd"/>
          </w:p>
        </w:tc>
      </w:tr>
      <w:tr w:rsidR="00051959" w:rsidRPr="00D012A6" w:rsidTr="007C46FA">
        <w:trPr>
          <w:trHeight w:val="300"/>
        </w:trPr>
        <w:tc>
          <w:tcPr>
            <w:tcW w:w="1616" w:type="dxa"/>
            <w:tcBorders>
              <w:top w:val="nil"/>
              <w:left w:val="nil"/>
              <w:bottom w:val="single" w:sz="8" w:space="0" w:color="auto"/>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巴基斯坦</w:t>
            </w:r>
          </w:p>
        </w:tc>
        <w:tc>
          <w:tcPr>
            <w:tcW w:w="636" w:type="dxa"/>
            <w:tcBorders>
              <w:top w:val="nil"/>
              <w:left w:val="nil"/>
              <w:bottom w:val="single" w:sz="8" w:space="0" w:color="auto"/>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single" w:sz="8" w:space="0" w:color="auto"/>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single" w:sz="8" w:space="0" w:color="auto"/>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588" w:type="dxa"/>
            <w:tcBorders>
              <w:top w:val="nil"/>
              <w:left w:val="nil"/>
              <w:bottom w:val="single" w:sz="8" w:space="0" w:color="auto"/>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w:t>
            </w:r>
          </w:p>
        </w:tc>
        <w:tc>
          <w:tcPr>
            <w:tcW w:w="759" w:type="dxa"/>
            <w:tcBorders>
              <w:top w:val="nil"/>
              <w:left w:val="nil"/>
              <w:bottom w:val="single" w:sz="8" w:space="0" w:color="auto"/>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single" w:sz="8" w:space="0" w:color="auto"/>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single" w:sz="8" w:space="0" w:color="auto"/>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single" w:sz="8" w:space="0" w:color="auto"/>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w:t>
            </w:r>
          </w:p>
        </w:tc>
        <w:tc>
          <w:tcPr>
            <w:tcW w:w="0" w:type="auto"/>
            <w:tcBorders>
              <w:top w:val="nil"/>
              <w:left w:val="nil"/>
              <w:bottom w:val="single" w:sz="8" w:space="0" w:color="auto"/>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single" w:sz="8" w:space="0" w:color="auto"/>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0" w:type="auto"/>
            <w:tcBorders>
              <w:top w:val="nil"/>
              <w:left w:val="nil"/>
              <w:bottom w:val="single" w:sz="8" w:space="0" w:color="auto"/>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 xml:space="preserve">1.00 </w:t>
            </w:r>
          </w:p>
        </w:tc>
        <w:tc>
          <w:tcPr>
            <w:tcW w:w="531" w:type="dxa"/>
            <w:tcBorders>
              <w:top w:val="nil"/>
              <w:left w:val="nil"/>
              <w:bottom w:val="single" w:sz="8" w:space="0" w:color="auto"/>
              <w:right w:val="nil"/>
            </w:tcBorders>
            <w:shd w:val="clear" w:color="auto" w:fill="auto"/>
            <w:noWrap/>
            <w:vAlign w:val="center"/>
            <w:hideMark/>
          </w:tcPr>
          <w:p w:rsidR="00051959" w:rsidRPr="00D012A6" w:rsidRDefault="00051959" w:rsidP="00D012A6">
            <w:pPr>
              <w:widowControl/>
              <w:jc w:val="center"/>
              <w:rPr>
                <w:rFonts w:ascii="宋体" w:hAnsi="宋体" w:cs="宋体"/>
                <w:color w:val="000000"/>
                <w:kern w:val="0"/>
                <w:szCs w:val="21"/>
              </w:rPr>
            </w:pPr>
            <w:r w:rsidRPr="00D012A6">
              <w:rPr>
                <w:rFonts w:ascii="宋体" w:hAnsi="宋体" w:cs="宋体" w:hint="eastAsia"/>
                <w:color w:val="000000"/>
                <w:kern w:val="0"/>
                <w:szCs w:val="21"/>
              </w:rPr>
              <w:t>-</w:t>
            </w:r>
          </w:p>
        </w:tc>
      </w:tr>
    </w:tbl>
    <w:p w:rsidR="00051959" w:rsidRDefault="00051959"/>
    <w:p w:rsidR="00051959" w:rsidRDefault="00051959"/>
    <w:p w:rsidR="00051959" w:rsidRPr="00A425C1" w:rsidRDefault="00051959" w:rsidP="0047580B">
      <w:pPr>
        <w:ind w:firstLine="420"/>
        <w:rPr>
          <w:rFonts w:ascii="宋体" w:hAnsi="宋体"/>
          <w:szCs w:val="21"/>
        </w:rPr>
      </w:pPr>
      <w:r w:rsidRPr="00A425C1">
        <w:rPr>
          <w:rFonts w:ascii="宋体" w:hAnsi="宋体" w:hint="eastAsia"/>
          <w:szCs w:val="21"/>
        </w:rPr>
        <w:t>进一步地，我们可以考察技术效率的变化情况，也即进行</w:t>
      </w:r>
      <w:proofErr w:type="spellStart"/>
      <w:r w:rsidRPr="00A425C1">
        <w:rPr>
          <w:rFonts w:ascii="宋体" w:hAnsi="宋体" w:hint="eastAsia"/>
          <w:szCs w:val="21"/>
        </w:rPr>
        <w:t>Malmquist</w:t>
      </w:r>
      <w:proofErr w:type="spellEnd"/>
      <w:r w:rsidRPr="00A425C1">
        <w:rPr>
          <w:rFonts w:ascii="宋体" w:hAnsi="宋体" w:hint="eastAsia"/>
          <w:szCs w:val="21"/>
        </w:rPr>
        <w:t>生产率指数的计算。本文采用法尔等（1994,1997）</w:t>
      </w:r>
      <w:r w:rsidRPr="00A425C1">
        <w:rPr>
          <w:rStyle w:val="a8"/>
          <w:rFonts w:ascii="宋体" w:hAnsi="宋体"/>
          <w:szCs w:val="21"/>
        </w:rPr>
        <w:footnoteReference w:id="14"/>
      </w:r>
      <w:r w:rsidRPr="00A425C1">
        <w:rPr>
          <w:rStyle w:val="a8"/>
          <w:rFonts w:ascii="宋体" w:hAnsi="宋体"/>
          <w:szCs w:val="21"/>
        </w:rPr>
        <w:footnoteReference w:id="15"/>
      </w:r>
      <w:r w:rsidRPr="00A425C1">
        <w:rPr>
          <w:rFonts w:ascii="宋体" w:hAnsi="宋体" w:hint="eastAsia"/>
          <w:szCs w:val="21"/>
        </w:rPr>
        <w:t>的方法进行计算，具体公式如下：</w:t>
      </w:r>
    </w:p>
    <w:p w:rsidR="00051959" w:rsidRPr="00A425C1" w:rsidRDefault="00051959" w:rsidP="0047580B">
      <w:pPr>
        <w:ind w:firstLine="420"/>
        <w:rPr>
          <w:rFonts w:ascii="宋体" w:hAnsi="宋体"/>
          <w:szCs w:val="21"/>
        </w:rPr>
      </w:pPr>
      <m:oMathPara>
        <m:oMath>
          <m:sSub>
            <m:sSubPr>
              <m:ctrlPr>
                <w:rPr>
                  <w:rFonts w:ascii="Cambria Math" w:hAnsi="Cambria Math"/>
                  <w:sz w:val="24"/>
                </w:rPr>
              </m:ctrlPr>
            </m:sSubPr>
            <m:e>
              <m:r>
                <m:rPr>
                  <m:sty m:val="p"/>
                </m:rPr>
                <w:rPr>
                  <w:rFonts w:ascii="Cambria Math" w:hAnsi="Cambria Math"/>
                  <w:sz w:val="24"/>
                </w:rPr>
                <m:t>M</m:t>
              </m:r>
            </m:e>
            <m:sub>
              <m:r>
                <m:rPr>
                  <m:sty m:val="p"/>
                </m:rPr>
                <w:rPr>
                  <w:rFonts w:ascii="Cambria Math" w:hAnsi="Cambria Math"/>
                  <w:sz w:val="24"/>
                </w:rPr>
                <m:t>o</m:t>
              </m:r>
            </m:sub>
          </m:sSub>
          <m:d>
            <m:dPr>
              <m:ctrlPr>
                <w:rPr>
                  <w:rFonts w:ascii="Cambria Math" w:hAnsi="Cambria Math"/>
                  <w:sz w:val="24"/>
                </w:rPr>
              </m:ctrlPr>
            </m:dPr>
            <m:e>
              <m:sSup>
                <m:sSupPr>
                  <m:ctrlPr>
                    <w:rPr>
                      <w:rFonts w:ascii="Cambria Math" w:hAnsi="Cambria Math"/>
                      <w:sz w:val="24"/>
                    </w:rPr>
                  </m:ctrlPr>
                </m:sSupPr>
                <m:e>
                  <m:acc>
                    <m:accPr>
                      <m:chr m:val="⃗"/>
                      <m:ctrlPr>
                        <w:rPr>
                          <w:rFonts w:ascii="Cambria Math" w:hAnsi="Cambria Math"/>
                          <w:sz w:val="24"/>
                        </w:rPr>
                      </m:ctrlPr>
                    </m:accPr>
                    <m:e>
                      <m:r>
                        <m:rPr>
                          <m:sty m:val="p"/>
                        </m:rPr>
                        <w:rPr>
                          <w:rFonts w:ascii="Cambria Math" w:hAnsi="Cambria Math"/>
                          <w:sz w:val="24"/>
                        </w:rPr>
                        <m:t>x</m:t>
                      </m:r>
                    </m:e>
                  </m:acc>
                </m:e>
                <m:sup>
                  <m:r>
                    <m:rPr>
                      <m:sty m:val="p"/>
                    </m:rPr>
                    <w:rPr>
                      <w:rFonts w:ascii="Cambria Math" w:hAnsi="Cambria Math"/>
                      <w:sz w:val="24"/>
                    </w:rPr>
                    <m:t>t+1</m:t>
                  </m:r>
                </m:sup>
              </m:sSup>
              <m:r>
                <m:rPr>
                  <m:sty m:val="p"/>
                </m:rPr>
                <w:rPr>
                  <w:rFonts w:ascii="Cambria Math" w:hAnsi="Cambria Math"/>
                  <w:sz w:val="24"/>
                </w:rPr>
                <m:t>,</m:t>
              </m:r>
              <m:sSup>
                <m:sSupPr>
                  <m:ctrlPr>
                    <w:rPr>
                      <w:rFonts w:ascii="Cambria Math" w:hAnsi="Cambria Math"/>
                      <w:sz w:val="24"/>
                    </w:rPr>
                  </m:ctrlPr>
                </m:sSupPr>
                <m:e>
                  <m:acc>
                    <m:accPr>
                      <m:chr m:val="⃗"/>
                      <m:ctrlPr>
                        <w:rPr>
                          <w:rFonts w:ascii="Cambria Math" w:hAnsi="Cambria Math"/>
                          <w:sz w:val="24"/>
                        </w:rPr>
                      </m:ctrlPr>
                    </m:accPr>
                    <m:e>
                      <m:r>
                        <m:rPr>
                          <m:sty m:val="p"/>
                        </m:rPr>
                        <w:rPr>
                          <w:rFonts w:ascii="Cambria Math" w:hAnsi="Cambria Math"/>
                          <w:sz w:val="24"/>
                        </w:rPr>
                        <m:t>y</m:t>
                      </m:r>
                    </m:e>
                  </m:acc>
                </m:e>
                <m:sup>
                  <m:r>
                    <m:rPr>
                      <m:sty m:val="p"/>
                    </m:rPr>
                    <w:rPr>
                      <w:rFonts w:ascii="Cambria Math" w:hAnsi="Cambria Math"/>
                      <w:sz w:val="24"/>
                    </w:rPr>
                    <m:t>t+1</m:t>
                  </m:r>
                </m:sup>
              </m:sSup>
              <m:r>
                <m:rPr>
                  <m:sty m:val="p"/>
                </m:rPr>
                <w:rPr>
                  <w:rFonts w:ascii="Cambria Math" w:hAnsi="Cambria Math"/>
                  <w:sz w:val="24"/>
                </w:rPr>
                <m:t>,</m:t>
              </m:r>
              <m:sSup>
                <m:sSupPr>
                  <m:ctrlPr>
                    <w:rPr>
                      <w:rFonts w:ascii="Cambria Math" w:hAnsi="Cambria Math"/>
                      <w:sz w:val="24"/>
                    </w:rPr>
                  </m:ctrlPr>
                </m:sSupPr>
                <m:e>
                  <m:acc>
                    <m:accPr>
                      <m:chr m:val="⃗"/>
                      <m:ctrlPr>
                        <w:rPr>
                          <w:rFonts w:ascii="Cambria Math" w:hAnsi="Cambria Math"/>
                          <w:sz w:val="24"/>
                        </w:rPr>
                      </m:ctrlPr>
                    </m:accPr>
                    <m:e>
                      <m:r>
                        <m:rPr>
                          <m:sty m:val="p"/>
                        </m:rPr>
                        <w:rPr>
                          <w:rFonts w:ascii="Cambria Math" w:hAnsi="Cambria Math"/>
                          <w:sz w:val="24"/>
                        </w:rPr>
                        <m:t>x</m:t>
                      </m:r>
                    </m:e>
                  </m:acc>
                </m:e>
                <m:sup>
                  <m:r>
                    <m:rPr>
                      <m:sty m:val="p"/>
                    </m:rPr>
                    <w:rPr>
                      <w:rFonts w:ascii="Cambria Math" w:hAnsi="Cambria Math"/>
                      <w:sz w:val="24"/>
                    </w:rPr>
                    <m:t>t</m:t>
                  </m:r>
                </m:sup>
              </m:sSup>
              <m:r>
                <m:rPr>
                  <m:sty m:val="p"/>
                </m:rPr>
                <w:rPr>
                  <w:rFonts w:ascii="Cambria Math" w:hAnsi="Cambria Math"/>
                  <w:sz w:val="24"/>
                </w:rPr>
                <m:t>,</m:t>
              </m:r>
              <m:sSup>
                <m:sSupPr>
                  <m:ctrlPr>
                    <w:rPr>
                      <w:rFonts w:ascii="Cambria Math" w:hAnsi="Cambria Math"/>
                      <w:sz w:val="24"/>
                    </w:rPr>
                  </m:ctrlPr>
                </m:sSupPr>
                <m:e>
                  <m:acc>
                    <m:accPr>
                      <m:chr m:val="⃗"/>
                      <m:ctrlPr>
                        <w:rPr>
                          <w:rFonts w:ascii="Cambria Math" w:hAnsi="Cambria Math"/>
                          <w:sz w:val="24"/>
                        </w:rPr>
                      </m:ctrlPr>
                    </m:accPr>
                    <m:e>
                      <m:r>
                        <m:rPr>
                          <m:sty m:val="p"/>
                        </m:rPr>
                        <w:rPr>
                          <w:rFonts w:ascii="Cambria Math" w:hAnsi="Cambria Math"/>
                          <w:sz w:val="24"/>
                        </w:rPr>
                        <m:t>y</m:t>
                      </m:r>
                    </m:e>
                  </m:acc>
                </m:e>
                <m:sup>
                  <m:r>
                    <m:rPr>
                      <m:sty m:val="p"/>
                    </m:rPr>
                    <w:rPr>
                      <w:rFonts w:ascii="Cambria Math" w:hAnsi="Cambria Math"/>
                      <w:sz w:val="24"/>
                    </w:rPr>
                    <m:t>t</m:t>
                  </m:r>
                </m:sup>
              </m:sSup>
            </m:e>
          </m:d>
          <m:r>
            <m:rPr>
              <m:sty m:val="p"/>
            </m:rPr>
            <w:rPr>
              <w:rFonts w:ascii="Cambria Math" w:hAnsi="Cambria Math"/>
              <w:sz w:val="24"/>
            </w:rPr>
            <m:t>=</m:t>
          </m:r>
          <m:sSup>
            <m:sSupPr>
              <m:ctrlPr>
                <w:rPr>
                  <w:rFonts w:ascii="Cambria Math" w:hAnsi="Cambria Math"/>
                  <w:sz w:val="24"/>
                </w:rPr>
              </m:ctrlPr>
            </m:sSupPr>
            <m:e>
              <m:d>
                <m:dPr>
                  <m:begChr m:val="["/>
                  <m:endChr m:val="]"/>
                  <m:ctrlPr>
                    <w:rPr>
                      <w:rFonts w:ascii="Cambria Math" w:hAnsi="Cambria Math"/>
                      <w:sz w:val="24"/>
                    </w:rPr>
                  </m:ctrlPr>
                </m:dPr>
                <m:e>
                  <m:d>
                    <m:dPr>
                      <m:ctrlPr>
                        <w:rPr>
                          <w:rFonts w:ascii="Cambria Math" w:hAnsi="Cambria Math"/>
                          <w:sz w:val="24"/>
                        </w:rPr>
                      </m:ctrlPr>
                    </m:dPr>
                    <m:e>
                      <m:f>
                        <m:fPr>
                          <m:ctrlPr>
                            <w:rPr>
                              <w:rFonts w:ascii="Cambria Math" w:hAnsi="Cambria Math"/>
                              <w:sz w:val="24"/>
                            </w:rPr>
                          </m:ctrlPr>
                        </m:fPr>
                        <m:num>
                          <m:sSubSup>
                            <m:sSubSupPr>
                              <m:ctrlPr>
                                <w:rPr>
                                  <w:rFonts w:ascii="Cambria Math" w:hAnsi="Cambria Math"/>
                                  <w:sz w:val="24"/>
                                </w:rPr>
                              </m:ctrlPr>
                            </m:sSubSupPr>
                            <m:e>
                              <m:r>
                                <m:rPr>
                                  <m:sty m:val="p"/>
                                </m:rPr>
                                <w:rPr>
                                  <w:rFonts w:ascii="Cambria Math" w:hAnsi="Cambria Math"/>
                                  <w:sz w:val="24"/>
                                </w:rPr>
                                <m:t>D</m:t>
                              </m:r>
                            </m:e>
                            <m:sub>
                              <m:r>
                                <m:rPr>
                                  <m:sty m:val="p"/>
                                </m:rPr>
                                <w:rPr>
                                  <w:rFonts w:ascii="Cambria Math" w:hAnsi="Cambria Math"/>
                                  <w:sz w:val="24"/>
                                </w:rPr>
                                <m:t>o</m:t>
                              </m:r>
                            </m:sub>
                            <m:sup>
                              <m:r>
                                <m:rPr>
                                  <m:sty m:val="p"/>
                                </m:rPr>
                                <w:rPr>
                                  <w:rFonts w:ascii="Cambria Math" w:hAnsi="Cambria Math"/>
                                  <w:sz w:val="24"/>
                                </w:rPr>
                                <m:t>t</m:t>
                              </m:r>
                            </m:sup>
                          </m:sSubSup>
                          <m:d>
                            <m:dPr>
                              <m:ctrlPr>
                                <w:rPr>
                                  <w:rFonts w:ascii="Cambria Math" w:hAnsi="Cambria Math"/>
                                  <w:sz w:val="24"/>
                                </w:rPr>
                              </m:ctrlPr>
                            </m:dPr>
                            <m:e>
                              <m:sSup>
                                <m:sSupPr>
                                  <m:ctrlPr>
                                    <w:rPr>
                                      <w:rFonts w:ascii="Cambria Math" w:hAnsi="Cambria Math"/>
                                      <w:sz w:val="24"/>
                                    </w:rPr>
                                  </m:ctrlPr>
                                </m:sSupPr>
                                <m:e>
                                  <m:acc>
                                    <m:accPr>
                                      <m:chr m:val="⃗"/>
                                      <m:ctrlPr>
                                        <w:rPr>
                                          <w:rFonts w:ascii="Cambria Math" w:hAnsi="Cambria Math"/>
                                          <w:sz w:val="24"/>
                                        </w:rPr>
                                      </m:ctrlPr>
                                    </m:accPr>
                                    <m:e>
                                      <m:r>
                                        <m:rPr>
                                          <m:sty m:val="p"/>
                                        </m:rPr>
                                        <w:rPr>
                                          <w:rFonts w:ascii="Cambria Math" w:hAnsi="Cambria Math"/>
                                          <w:sz w:val="24"/>
                                        </w:rPr>
                                        <m:t>x</m:t>
                                      </m:r>
                                    </m:e>
                                  </m:acc>
                                </m:e>
                                <m:sup>
                                  <m:r>
                                    <m:rPr>
                                      <m:sty m:val="p"/>
                                    </m:rPr>
                                    <w:rPr>
                                      <w:rFonts w:ascii="Cambria Math" w:hAnsi="Cambria Math"/>
                                      <w:sz w:val="24"/>
                                    </w:rPr>
                                    <m:t>t+1</m:t>
                                  </m:r>
                                </m:sup>
                              </m:sSup>
                              <m:r>
                                <m:rPr>
                                  <m:sty m:val="p"/>
                                </m:rPr>
                                <w:rPr>
                                  <w:rFonts w:ascii="Cambria Math" w:hAnsi="Cambria Math"/>
                                  <w:sz w:val="24"/>
                                </w:rPr>
                                <m:t>,</m:t>
                              </m:r>
                              <m:sSup>
                                <m:sSupPr>
                                  <m:ctrlPr>
                                    <w:rPr>
                                      <w:rFonts w:ascii="Cambria Math" w:hAnsi="Cambria Math"/>
                                      <w:sz w:val="24"/>
                                    </w:rPr>
                                  </m:ctrlPr>
                                </m:sSupPr>
                                <m:e>
                                  <m:acc>
                                    <m:accPr>
                                      <m:chr m:val="⃗"/>
                                      <m:ctrlPr>
                                        <w:rPr>
                                          <w:rFonts w:ascii="Cambria Math" w:hAnsi="Cambria Math"/>
                                          <w:sz w:val="24"/>
                                        </w:rPr>
                                      </m:ctrlPr>
                                    </m:accPr>
                                    <m:e>
                                      <m:r>
                                        <m:rPr>
                                          <m:sty m:val="p"/>
                                        </m:rPr>
                                        <w:rPr>
                                          <w:rFonts w:ascii="Cambria Math" w:hAnsi="Cambria Math"/>
                                          <w:sz w:val="24"/>
                                        </w:rPr>
                                        <m:t>y</m:t>
                                      </m:r>
                                    </m:e>
                                  </m:acc>
                                </m:e>
                                <m:sup>
                                  <m:r>
                                    <m:rPr>
                                      <m:sty m:val="p"/>
                                    </m:rPr>
                                    <w:rPr>
                                      <w:rFonts w:ascii="Cambria Math" w:hAnsi="Cambria Math"/>
                                      <w:sz w:val="24"/>
                                    </w:rPr>
                                    <m:t>t+1</m:t>
                                  </m:r>
                                </m:sup>
                              </m:sSup>
                            </m:e>
                          </m:d>
                        </m:num>
                        <m:den>
                          <m:sSubSup>
                            <m:sSubSupPr>
                              <m:ctrlPr>
                                <w:rPr>
                                  <w:rFonts w:ascii="Cambria Math" w:hAnsi="Cambria Math"/>
                                  <w:sz w:val="24"/>
                                </w:rPr>
                              </m:ctrlPr>
                            </m:sSubSupPr>
                            <m:e>
                              <m:r>
                                <m:rPr>
                                  <m:sty m:val="p"/>
                                </m:rPr>
                                <w:rPr>
                                  <w:rFonts w:ascii="Cambria Math" w:hAnsi="Cambria Math"/>
                                  <w:sz w:val="24"/>
                                </w:rPr>
                                <m:t>D</m:t>
                              </m:r>
                            </m:e>
                            <m:sub>
                              <m:r>
                                <m:rPr>
                                  <m:sty m:val="p"/>
                                </m:rPr>
                                <w:rPr>
                                  <w:rFonts w:ascii="Cambria Math" w:hAnsi="Cambria Math"/>
                                  <w:sz w:val="24"/>
                                </w:rPr>
                                <m:t>o</m:t>
                              </m:r>
                            </m:sub>
                            <m:sup>
                              <m:r>
                                <m:rPr>
                                  <m:sty m:val="p"/>
                                </m:rPr>
                                <w:rPr>
                                  <w:rFonts w:ascii="Cambria Math" w:hAnsi="Cambria Math"/>
                                  <w:sz w:val="24"/>
                                </w:rPr>
                                <m:t>t</m:t>
                              </m:r>
                            </m:sup>
                          </m:sSubSup>
                          <m:d>
                            <m:dPr>
                              <m:ctrlPr>
                                <w:rPr>
                                  <w:rFonts w:ascii="Cambria Math" w:hAnsi="Cambria Math"/>
                                  <w:sz w:val="24"/>
                                </w:rPr>
                              </m:ctrlPr>
                            </m:dPr>
                            <m:e>
                              <m:sSup>
                                <m:sSupPr>
                                  <m:ctrlPr>
                                    <w:rPr>
                                      <w:rFonts w:ascii="Cambria Math" w:hAnsi="Cambria Math"/>
                                      <w:sz w:val="24"/>
                                    </w:rPr>
                                  </m:ctrlPr>
                                </m:sSupPr>
                                <m:e>
                                  <m:acc>
                                    <m:accPr>
                                      <m:chr m:val="⃗"/>
                                      <m:ctrlPr>
                                        <w:rPr>
                                          <w:rFonts w:ascii="Cambria Math" w:hAnsi="Cambria Math"/>
                                          <w:sz w:val="24"/>
                                        </w:rPr>
                                      </m:ctrlPr>
                                    </m:accPr>
                                    <m:e>
                                      <m:r>
                                        <m:rPr>
                                          <m:sty m:val="p"/>
                                        </m:rPr>
                                        <w:rPr>
                                          <w:rFonts w:ascii="Cambria Math" w:hAnsi="Cambria Math"/>
                                          <w:sz w:val="24"/>
                                        </w:rPr>
                                        <m:t>x</m:t>
                                      </m:r>
                                    </m:e>
                                  </m:acc>
                                </m:e>
                                <m:sup>
                                  <m:r>
                                    <m:rPr>
                                      <m:sty m:val="p"/>
                                    </m:rPr>
                                    <w:rPr>
                                      <w:rFonts w:ascii="Cambria Math" w:hAnsi="Cambria Math"/>
                                      <w:sz w:val="24"/>
                                    </w:rPr>
                                    <m:t>t</m:t>
                                  </m:r>
                                </m:sup>
                              </m:sSup>
                              <m:r>
                                <m:rPr>
                                  <m:sty m:val="p"/>
                                </m:rPr>
                                <w:rPr>
                                  <w:rFonts w:ascii="Cambria Math" w:hAnsi="Cambria Math"/>
                                  <w:sz w:val="24"/>
                                </w:rPr>
                                <m:t>,</m:t>
                              </m:r>
                              <m:sSup>
                                <m:sSupPr>
                                  <m:ctrlPr>
                                    <w:rPr>
                                      <w:rFonts w:ascii="Cambria Math" w:hAnsi="Cambria Math"/>
                                      <w:sz w:val="24"/>
                                    </w:rPr>
                                  </m:ctrlPr>
                                </m:sSupPr>
                                <m:e>
                                  <m:acc>
                                    <m:accPr>
                                      <m:chr m:val="⃗"/>
                                      <m:ctrlPr>
                                        <w:rPr>
                                          <w:rFonts w:ascii="Cambria Math" w:hAnsi="Cambria Math"/>
                                          <w:sz w:val="24"/>
                                        </w:rPr>
                                      </m:ctrlPr>
                                    </m:accPr>
                                    <m:e>
                                      <m:r>
                                        <m:rPr>
                                          <m:sty m:val="p"/>
                                        </m:rPr>
                                        <w:rPr>
                                          <w:rFonts w:ascii="Cambria Math" w:hAnsi="Cambria Math"/>
                                          <w:sz w:val="24"/>
                                        </w:rPr>
                                        <m:t>y</m:t>
                                      </m:r>
                                    </m:e>
                                  </m:acc>
                                </m:e>
                                <m:sup>
                                  <m:r>
                                    <m:rPr>
                                      <m:sty m:val="p"/>
                                    </m:rPr>
                                    <w:rPr>
                                      <w:rFonts w:ascii="Cambria Math" w:hAnsi="Cambria Math"/>
                                      <w:sz w:val="24"/>
                                    </w:rPr>
                                    <m:t>t</m:t>
                                  </m:r>
                                </m:sup>
                              </m:sSup>
                            </m:e>
                          </m:d>
                        </m:den>
                      </m:f>
                    </m:e>
                  </m:d>
                  <m:d>
                    <m:dPr>
                      <m:ctrlPr>
                        <w:rPr>
                          <w:rFonts w:ascii="Cambria Math" w:hAnsi="Cambria Math"/>
                          <w:sz w:val="24"/>
                        </w:rPr>
                      </m:ctrlPr>
                    </m:dPr>
                    <m:e>
                      <m:f>
                        <m:fPr>
                          <m:ctrlPr>
                            <w:rPr>
                              <w:rFonts w:ascii="Cambria Math" w:hAnsi="Cambria Math"/>
                              <w:sz w:val="24"/>
                            </w:rPr>
                          </m:ctrlPr>
                        </m:fPr>
                        <m:num>
                          <m:sSubSup>
                            <m:sSubSupPr>
                              <m:ctrlPr>
                                <w:rPr>
                                  <w:rFonts w:ascii="Cambria Math" w:hAnsi="Cambria Math"/>
                                  <w:sz w:val="24"/>
                                </w:rPr>
                              </m:ctrlPr>
                            </m:sSubSupPr>
                            <m:e>
                              <m:r>
                                <m:rPr>
                                  <m:sty m:val="p"/>
                                </m:rPr>
                                <w:rPr>
                                  <w:rFonts w:ascii="Cambria Math" w:hAnsi="Cambria Math"/>
                                  <w:sz w:val="24"/>
                                </w:rPr>
                                <m:t>D</m:t>
                              </m:r>
                            </m:e>
                            <m:sub>
                              <m:r>
                                <m:rPr>
                                  <m:sty m:val="p"/>
                                </m:rPr>
                                <w:rPr>
                                  <w:rFonts w:ascii="Cambria Math" w:hAnsi="Cambria Math"/>
                                  <w:sz w:val="24"/>
                                </w:rPr>
                                <m:t>o</m:t>
                              </m:r>
                            </m:sub>
                            <m:sup>
                              <m:r>
                                <m:rPr>
                                  <m:sty m:val="p"/>
                                </m:rPr>
                                <w:rPr>
                                  <w:rFonts w:ascii="Cambria Math" w:hAnsi="Cambria Math"/>
                                  <w:sz w:val="24"/>
                                </w:rPr>
                                <m:t>t+1</m:t>
                              </m:r>
                            </m:sup>
                          </m:sSubSup>
                          <m:d>
                            <m:dPr>
                              <m:ctrlPr>
                                <w:rPr>
                                  <w:rFonts w:ascii="Cambria Math" w:hAnsi="Cambria Math"/>
                                  <w:sz w:val="24"/>
                                </w:rPr>
                              </m:ctrlPr>
                            </m:dPr>
                            <m:e>
                              <m:sSup>
                                <m:sSupPr>
                                  <m:ctrlPr>
                                    <w:rPr>
                                      <w:rFonts w:ascii="Cambria Math" w:hAnsi="Cambria Math"/>
                                      <w:sz w:val="24"/>
                                    </w:rPr>
                                  </m:ctrlPr>
                                </m:sSupPr>
                                <m:e>
                                  <m:acc>
                                    <m:accPr>
                                      <m:chr m:val="⃗"/>
                                      <m:ctrlPr>
                                        <w:rPr>
                                          <w:rFonts w:ascii="Cambria Math" w:hAnsi="Cambria Math"/>
                                          <w:sz w:val="24"/>
                                        </w:rPr>
                                      </m:ctrlPr>
                                    </m:accPr>
                                    <m:e>
                                      <m:r>
                                        <m:rPr>
                                          <m:sty m:val="p"/>
                                        </m:rPr>
                                        <w:rPr>
                                          <w:rFonts w:ascii="Cambria Math" w:hAnsi="Cambria Math"/>
                                          <w:sz w:val="24"/>
                                        </w:rPr>
                                        <m:t>x</m:t>
                                      </m:r>
                                    </m:e>
                                  </m:acc>
                                </m:e>
                                <m:sup>
                                  <m:r>
                                    <m:rPr>
                                      <m:sty m:val="p"/>
                                    </m:rPr>
                                    <w:rPr>
                                      <w:rFonts w:ascii="Cambria Math" w:hAnsi="Cambria Math"/>
                                      <w:sz w:val="24"/>
                                    </w:rPr>
                                    <m:t>t+1</m:t>
                                  </m:r>
                                </m:sup>
                              </m:sSup>
                              <m:r>
                                <m:rPr>
                                  <m:sty m:val="p"/>
                                </m:rPr>
                                <w:rPr>
                                  <w:rFonts w:ascii="Cambria Math" w:hAnsi="Cambria Math"/>
                                  <w:sz w:val="24"/>
                                </w:rPr>
                                <m:t>,</m:t>
                              </m:r>
                              <m:sSup>
                                <m:sSupPr>
                                  <m:ctrlPr>
                                    <w:rPr>
                                      <w:rFonts w:ascii="Cambria Math" w:hAnsi="Cambria Math"/>
                                      <w:sz w:val="24"/>
                                    </w:rPr>
                                  </m:ctrlPr>
                                </m:sSupPr>
                                <m:e>
                                  <m:acc>
                                    <m:accPr>
                                      <m:chr m:val="⃗"/>
                                      <m:ctrlPr>
                                        <w:rPr>
                                          <w:rFonts w:ascii="Cambria Math" w:hAnsi="Cambria Math"/>
                                          <w:sz w:val="24"/>
                                        </w:rPr>
                                      </m:ctrlPr>
                                    </m:accPr>
                                    <m:e>
                                      <m:r>
                                        <m:rPr>
                                          <m:sty m:val="p"/>
                                        </m:rPr>
                                        <w:rPr>
                                          <w:rFonts w:ascii="Cambria Math" w:hAnsi="Cambria Math"/>
                                          <w:sz w:val="24"/>
                                        </w:rPr>
                                        <m:t>y</m:t>
                                      </m:r>
                                    </m:e>
                                  </m:acc>
                                </m:e>
                                <m:sup>
                                  <m:r>
                                    <m:rPr>
                                      <m:sty m:val="p"/>
                                    </m:rPr>
                                    <w:rPr>
                                      <w:rFonts w:ascii="Cambria Math" w:hAnsi="Cambria Math"/>
                                      <w:sz w:val="24"/>
                                    </w:rPr>
                                    <m:t>t+1</m:t>
                                  </m:r>
                                </m:sup>
                              </m:sSup>
                            </m:e>
                          </m:d>
                        </m:num>
                        <m:den>
                          <m:sSubSup>
                            <m:sSubSupPr>
                              <m:ctrlPr>
                                <w:rPr>
                                  <w:rFonts w:ascii="Cambria Math" w:hAnsi="Cambria Math"/>
                                  <w:sz w:val="24"/>
                                </w:rPr>
                              </m:ctrlPr>
                            </m:sSubSupPr>
                            <m:e>
                              <m:r>
                                <m:rPr>
                                  <m:sty m:val="p"/>
                                </m:rPr>
                                <w:rPr>
                                  <w:rFonts w:ascii="Cambria Math" w:hAnsi="Cambria Math"/>
                                  <w:sz w:val="24"/>
                                </w:rPr>
                                <m:t>D</m:t>
                              </m:r>
                            </m:e>
                            <m:sub>
                              <m:r>
                                <m:rPr>
                                  <m:sty m:val="p"/>
                                </m:rPr>
                                <w:rPr>
                                  <w:rFonts w:ascii="Cambria Math" w:hAnsi="Cambria Math"/>
                                  <w:sz w:val="24"/>
                                </w:rPr>
                                <m:t>o</m:t>
                              </m:r>
                            </m:sub>
                            <m:sup>
                              <m:r>
                                <m:rPr>
                                  <m:sty m:val="p"/>
                                </m:rPr>
                                <w:rPr>
                                  <w:rFonts w:ascii="Cambria Math" w:hAnsi="Cambria Math"/>
                                  <w:sz w:val="24"/>
                                </w:rPr>
                                <m:t>t+1</m:t>
                              </m:r>
                            </m:sup>
                          </m:sSubSup>
                          <m:d>
                            <m:dPr>
                              <m:ctrlPr>
                                <w:rPr>
                                  <w:rFonts w:ascii="Cambria Math" w:hAnsi="Cambria Math"/>
                                  <w:sz w:val="24"/>
                                </w:rPr>
                              </m:ctrlPr>
                            </m:dPr>
                            <m:e>
                              <m:sSup>
                                <m:sSupPr>
                                  <m:ctrlPr>
                                    <w:rPr>
                                      <w:rFonts w:ascii="Cambria Math" w:hAnsi="Cambria Math"/>
                                      <w:sz w:val="24"/>
                                    </w:rPr>
                                  </m:ctrlPr>
                                </m:sSupPr>
                                <m:e>
                                  <m:acc>
                                    <m:accPr>
                                      <m:chr m:val="⃗"/>
                                      <m:ctrlPr>
                                        <w:rPr>
                                          <w:rFonts w:ascii="Cambria Math" w:hAnsi="Cambria Math"/>
                                          <w:sz w:val="24"/>
                                        </w:rPr>
                                      </m:ctrlPr>
                                    </m:accPr>
                                    <m:e>
                                      <m:r>
                                        <m:rPr>
                                          <m:sty m:val="p"/>
                                        </m:rPr>
                                        <w:rPr>
                                          <w:rFonts w:ascii="Cambria Math" w:hAnsi="Cambria Math"/>
                                          <w:sz w:val="24"/>
                                        </w:rPr>
                                        <m:t>x</m:t>
                                      </m:r>
                                    </m:e>
                                  </m:acc>
                                </m:e>
                                <m:sup>
                                  <m:r>
                                    <m:rPr>
                                      <m:sty m:val="p"/>
                                    </m:rPr>
                                    <w:rPr>
                                      <w:rFonts w:ascii="Cambria Math" w:hAnsi="Cambria Math"/>
                                      <w:sz w:val="24"/>
                                    </w:rPr>
                                    <m:t>t</m:t>
                                  </m:r>
                                </m:sup>
                              </m:sSup>
                              <m:r>
                                <m:rPr>
                                  <m:sty m:val="p"/>
                                </m:rPr>
                                <w:rPr>
                                  <w:rFonts w:ascii="Cambria Math" w:hAnsi="Cambria Math"/>
                                  <w:sz w:val="24"/>
                                </w:rPr>
                                <m:t>,</m:t>
                              </m:r>
                              <m:sSup>
                                <m:sSupPr>
                                  <m:ctrlPr>
                                    <w:rPr>
                                      <w:rFonts w:ascii="Cambria Math" w:hAnsi="Cambria Math"/>
                                      <w:sz w:val="24"/>
                                    </w:rPr>
                                  </m:ctrlPr>
                                </m:sSupPr>
                                <m:e>
                                  <m:acc>
                                    <m:accPr>
                                      <m:chr m:val="⃗"/>
                                      <m:ctrlPr>
                                        <w:rPr>
                                          <w:rFonts w:ascii="Cambria Math" w:hAnsi="Cambria Math"/>
                                          <w:sz w:val="24"/>
                                        </w:rPr>
                                      </m:ctrlPr>
                                    </m:accPr>
                                    <m:e>
                                      <m:r>
                                        <m:rPr>
                                          <m:sty m:val="p"/>
                                        </m:rPr>
                                        <w:rPr>
                                          <w:rFonts w:ascii="Cambria Math" w:hAnsi="Cambria Math"/>
                                          <w:sz w:val="24"/>
                                        </w:rPr>
                                        <m:t>y</m:t>
                                      </m:r>
                                    </m:e>
                                  </m:acc>
                                </m:e>
                                <m:sup>
                                  <m:r>
                                    <m:rPr>
                                      <m:sty m:val="p"/>
                                    </m:rPr>
                                    <w:rPr>
                                      <w:rFonts w:ascii="Cambria Math" w:hAnsi="Cambria Math"/>
                                      <w:sz w:val="24"/>
                                    </w:rPr>
                                    <m:t>t</m:t>
                                  </m:r>
                                </m:sup>
                              </m:sSup>
                            </m:e>
                          </m:d>
                        </m:den>
                      </m:f>
                    </m:e>
                  </m:d>
                </m:e>
              </m:d>
            </m:e>
            <m:sup>
              <m:r>
                <m:rPr>
                  <m:sty m:val="p"/>
                </m:rPr>
                <w:rPr>
                  <w:rFonts w:ascii="Cambria Math" w:hAnsi="Cambria Math"/>
                  <w:sz w:val="24"/>
                </w:rPr>
                <m:t>1/2</m:t>
              </m:r>
            </m:sup>
          </m:sSup>
        </m:oMath>
      </m:oMathPara>
    </w:p>
    <w:p w:rsidR="00051959" w:rsidRPr="00A425C1" w:rsidRDefault="00051959" w:rsidP="0047580B">
      <w:pPr>
        <w:ind w:firstLine="420"/>
        <w:rPr>
          <w:rFonts w:ascii="宋体" w:hAnsi="宋体"/>
          <w:szCs w:val="21"/>
        </w:rPr>
      </w:pPr>
      <m:oMathPara>
        <m:oMath>
          <m:r>
            <m:rPr>
              <m:sty m:val="p"/>
            </m:rPr>
            <w:rPr>
              <w:rFonts w:ascii="Cambria Math" w:hAnsi="Cambria Math"/>
              <w:sz w:val="24"/>
            </w:rPr>
            <w:lastRenderedPageBreak/>
            <m:t>=</m:t>
          </m:r>
          <m:f>
            <m:fPr>
              <m:ctrlPr>
                <w:rPr>
                  <w:rFonts w:ascii="Cambria Math" w:hAnsi="Cambria Math"/>
                  <w:sz w:val="24"/>
                </w:rPr>
              </m:ctrlPr>
            </m:fPr>
            <m:num>
              <m:sSubSup>
                <m:sSubSupPr>
                  <m:ctrlPr>
                    <w:rPr>
                      <w:rFonts w:ascii="Cambria Math" w:hAnsi="Cambria Math"/>
                      <w:sz w:val="24"/>
                    </w:rPr>
                  </m:ctrlPr>
                </m:sSubSupPr>
                <m:e>
                  <m:r>
                    <m:rPr>
                      <m:sty m:val="p"/>
                    </m:rPr>
                    <w:rPr>
                      <w:rFonts w:ascii="Cambria Math" w:hAnsi="Cambria Math"/>
                      <w:sz w:val="24"/>
                    </w:rPr>
                    <m:t>D</m:t>
                  </m:r>
                </m:e>
                <m:sub>
                  <m:r>
                    <m:rPr>
                      <m:sty m:val="p"/>
                    </m:rPr>
                    <w:rPr>
                      <w:rFonts w:ascii="Cambria Math" w:hAnsi="Cambria Math"/>
                      <w:sz w:val="24"/>
                    </w:rPr>
                    <m:t>o</m:t>
                  </m:r>
                </m:sub>
                <m:sup>
                  <m:r>
                    <m:rPr>
                      <m:sty m:val="p"/>
                    </m:rPr>
                    <w:rPr>
                      <w:rFonts w:ascii="Cambria Math" w:hAnsi="Cambria Math"/>
                      <w:sz w:val="24"/>
                    </w:rPr>
                    <m:t>t+1</m:t>
                  </m:r>
                </m:sup>
              </m:sSubSup>
              <m:d>
                <m:dPr>
                  <m:ctrlPr>
                    <w:rPr>
                      <w:rFonts w:ascii="Cambria Math" w:hAnsi="Cambria Math"/>
                      <w:sz w:val="24"/>
                    </w:rPr>
                  </m:ctrlPr>
                </m:dPr>
                <m:e>
                  <m:sSup>
                    <m:sSupPr>
                      <m:ctrlPr>
                        <w:rPr>
                          <w:rFonts w:ascii="Cambria Math" w:hAnsi="Cambria Math"/>
                          <w:sz w:val="24"/>
                        </w:rPr>
                      </m:ctrlPr>
                    </m:sSupPr>
                    <m:e>
                      <m:acc>
                        <m:accPr>
                          <m:chr m:val="⃗"/>
                          <m:ctrlPr>
                            <w:rPr>
                              <w:rFonts w:ascii="Cambria Math" w:hAnsi="Cambria Math"/>
                              <w:sz w:val="24"/>
                            </w:rPr>
                          </m:ctrlPr>
                        </m:accPr>
                        <m:e>
                          <m:r>
                            <m:rPr>
                              <m:sty m:val="p"/>
                            </m:rPr>
                            <w:rPr>
                              <w:rFonts w:ascii="Cambria Math" w:hAnsi="Cambria Math"/>
                              <w:sz w:val="24"/>
                            </w:rPr>
                            <m:t>x</m:t>
                          </m:r>
                        </m:e>
                      </m:acc>
                    </m:e>
                    <m:sup>
                      <m:r>
                        <m:rPr>
                          <m:sty m:val="p"/>
                        </m:rPr>
                        <w:rPr>
                          <w:rFonts w:ascii="Cambria Math" w:hAnsi="Cambria Math"/>
                          <w:sz w:val="24"/>
                        </w:rPr>
                        <m:t>t+1</m:t>
                      </m:r>
                    </m:sup>
                  </m:sSup>
                  <m:r>
                    <m:rPr>
                      <m:sty m:val="p"/>
                    </m:rPr>
                    <w:rPr>
                      <w:rFonts w:ascii="Cambria Math" w:hAnsi="Cambria Math"/>
                      <w:sz w:val="24"/>
                    </w:rPr>
                    <m:t>,</m:t>
                  </m:r>
                  <m:sSup>
                    <m:sSupPr>
                      <m:ctrlPr>
                        <w:rPr>
                          <w:rFonts w:ascii="Cambria Math" w:hAnsi="Cambria Math"/>
                          <w:sz w:val="24"/>
                        </w:rPr>
                      </m:ctrlPr>
                    </m:sSupPr>
                    <m:e>
                      <m:acc>
                        <m:accPr>
                          <m:chr m:val="⃗"/>
                          <m:ctrlPr>
                            <w:rPr>
                              <w:rFonts w:ascii="Cambria Math" w:hAnsi="Cambria Math"/>
                              <w:sz w:val="24"/>
                            </w:rPr>
                          </m:ctrlPr>
                        </m:accPr>
                        <m:e>
                          <m:r>
                            <m:rPr>
                              <m:sty m:val="p"/>
                            </m:rPr>
                            <w:rPr>
                              <w:rFonts w:ascii="Cambria Math" w:hAnsi="Cambria Math"/>
                              <w:sz w:val="24"/>
                            </w:rPr>
                            <m:t>y</m:t>
                          </m:r>
                        </m:e>
                      </m:acc>
                    </m:e>
                    <m:sup>
                      <m:r>
                        <m:rPr>
                          <m:sty m:val="p"/>
                        </m:rPr>
                        <w:rPr>
                          <w:rFonts w:ascii="Cambria Math" w:hAnsi="Cambria Math"/>
                          <w:sz w:val="24"/>
                        </w:rPr>
                        <m:t>t+1</m:t>
                      </m:r>
                    </m:sup>
                  </m:sSup>
                </m:e>
              </m:d>
            </m:num>
            <m:den>
              <m:sSubSup>
                <m:sSubSupPr>
                  <m:ctrlPr>
                    <w:rPr>
                      <w:rFonts w:ascii="Cambria Math" w:hAnsi="Cambria Math"/>
                      <w:sz w:val="24"/>
                    </w:rPr>
                  </m:ctrlPr>
                </m:sSubSupPr>
                <m:e>
                  <m:r>
                    <m:rPr>
                      <m:sty m:val="p"/>
                    </m:rPr>
                    <w:rPr>
                      <w:rFonts w:ascii="Cambria Math" w:hAnsi="Cambria Math"/>
                      <w:sz w:val="24"/>
                    </w:rPr>
                    <m:t>D</m:t>
                  </m:r>
                </m:e>
                <m:sub>
                  <m:r>
                    <m:rPr>
                      <m:sty m:val="p"/>
                    </m:rPr>
                    <w:rPr>
                      <w:rFonts w:ascii="Cambria Math" w:hAnsi="Cambria Math"/>
                      <w:sz w:val="24"/>
                    </w:rPr>
                    <m:t>o</m:t>
                  </m:r>
                </m:sub>
                <m:sup>
                  <m:r>
                    <m:rPr>
                      <m:sty m:val="p"/>
                    </m:rPr>
                    <w:rPr>
                      <w:rFonts w:ascii="Cambria Math" w:hAnsi="Cambria Math"/>
                      <w:sz w:val="24"/>
                    </w:rPr>
                    <m:t>t</m:t>
                  </m:r>
                </m:sup>
              </m:sSubSup>
              <m:d>
                <m:dPr>
                  <m:ctrlPr>
                    <w:rPr>
                      <w:rFonts w:ascii="Cambria Math" w:hAnsi="Cambria Math"/>
                      <w:sz w:val="24"/>
                    </w:rPr>
                  </m:ctrlPr>
                </m:dPr>
                <m:e>
                  <m:sSup>
                    <m:sSupPr>
                      <m:ctrlPr>
                        <w:rPr>
                          <w:rFonts w:ascii="Cambria Math" w:hAnsi="Cambria Math"/>
                          <w:sz w:val="24"/>
                        </w:rPr>
                      </m:ctrlPr>
                    </m:sSupPr>
                    <m:e>
                      <m:acc>
                        <m:accPr>
                          <m:chr m:val="⃗"/>
                          <m:ctrlPr>
                            <w:rPr>
                              <w:rFonts w:ascii="Cambria Math" w:hAnsi="Cambria Math"/>
                              <w:sz w:val="24"/>
                            </w:rPr>
                          </m:ctrlPr>
                        </m:accPr>
                        <m:e>
                          <m:r>
                            <m:rPr>
                              <m:sty m:val="p"/>
                            </m:rPr>
                            <w:rPr>
                              <w:rFonts w:ascii="Cambria Math" w:hAnsi="Cambria Math"/>
                              <w:sz w:val="24"/>
                            </w:rPr>
                            <m:t>x</m:t>
                          </m:r>
                        </m:e>
                      </m:acc>
                    </m:e>
                    <m:sup>
                      <m:r>
                        <m:rPr>
                          <m:sty m:val="p"/>
                        </m:rPr>
                        <w:rPr>
                          <w:rFonts w:ascii="Cambria Math" w:hAnsi="Cambria Math"/>
                          <w:sz w:val="24"/>
                        </w:rPr>
                        <m:t>t</m:t>
                      </m:r>
                    </m:sup>
                  </m:sSup>
                  <m:r>
                    <m:rPr>
                      <m:sty m:val="p"/>
                    </m:rPr>
                    <w:rPr>
                      <w:rFonts w:ascii="Cambria Math" w:hAnsi="Cambria Math"/>
                      <w:sz w:val="24"/>
                    </w:rPr>
                    <m:t>,</m:t>
                  </m:r>
                  <m:sSup>
                    <m:sSupPr>
                      <m:ctrlPr>
                        <w:rPr>
                          <w:rFonts w:ascii="Cambria Math" w:hAnsi="Cambria Math"/>
                          <w:sz w:val="24"/>
                        </w:rPr>
                      </m:ctrlPr>
                    </m:sSupPr>
                    <m:e>
                      <m:acc>
                        <m:accPr>
                          <m:chr m:val="⃗"/>
                          <m:ctrlPr>
                            <w:rPr>
                              <w:rFonts w:ascii="Cambria Math" w:hAnsi="Cambria Math"/>
                              <w:sz w:val="24"/>
                            </w:rPr>
                          </m:ctrlPr>
                        </m:accPr>
                        <m:e>
                          <m:r>
                            <m:rPr>
                              <m:sty m:val="p"/>
                            </m:rPr>
                            <w:rPr>
                              <w:rFonts w:ascii="Cambria Math" w:hAnsi="Cambria Math"/>
                              <w:sz w:val="24"/>
                            </w:rPr>
                            <m:t>y</m:t>
                          </m:r>
                        </m:e>
                      </m:acc>
                    </m:e>
                    <m:sup>
                      <m:r>
                        <m:rPr>
                          <m:sty m:val="p"/>
                        </m:rPr>
                        <w:rPr>
                          <w:rFonts w:ascii="Cambria Math" w:hAnsi="Cambria Math"/>
                          <w:sz w:val="24"/>
                        </w:rPr>
                        <m:t>t</m:t>
                      </m:r>
                    </m:sup>
                  </m:sSup>
                </m:e>
              </m:d>
            </m:den>
          </m:f>
          <m:sSup>
            <m:sSupPr>
              <m:ctrlPr>
                <w:rPr>
                  <w:rFonts w:ascii="Cambria Math" w:hAnsi="Cambria Math"/>
                  <w:sz w:val="24"/>
                </w:rPr>
              </m:ctrlPr>
            </m:sSupPr>
            <m:e>
              <m:r>
                <m:rPr>
                  <m:sty m:val="p"/>
                </m:rPr>
                <w:rPr>
                  <w:rFonts w:ascii="Cambria Math" w:hAnsi="Cambria Math"/>
                  <w:sz w:val="24"/>
                </w:rPr>
                <m:t>×</m:t>
              </m:r>
              <m:d>
                <m:dPr>
                  <m:begChr m:val="["/>
                  <m:endChr m:val="]"/>
                  <m:ctrlPr>
                    <w:rPr>
                      <w:rFonts w:ascii="Cambria Math" w:hAnsi="Cambria Math"/>
                      <w:sz w:val="24"/>
                    </w:rPr>
                  </m:ctrlPr>
                </m:dPr>
                <m:e>
                  <m:d>
                    <m:dPr>
                      <m:ctrlPr>
                        <w:rPr>
                          <w:rFonts w:ascii="Cambria Math" w:hAnsi="Cambria Math"/>
                          <w:sz w:val="24"/>
                        </w:rPr>
                      </m:ctrlPr>
                    </m:dPr>
                    <m:e>
                      <m:f>
                        <m:fPr>
                          <m:ctrlPr>
                            <w:rPr>
                              <w:rFonts w:ascii="Cambria Math" w:hAnsi="Cambria Math"/>
                              <w:sz w:val="24"/>
                            </w:rPr>
                          </m:ctrlPr>
                        </m:fPr>
                        <m:num>
                          <m:sSubSup>
                            <m:sSubSupPr>
                              <m:ctrlPr>
                                <w:rPr>
                                  <w:rFonts w:ascii="Cambria Math" w:hAnsi="Cambria Math"/>
                                  <w:sz w:val="24"/>
                                </w:rPr>
                              </m:ctrlPr>
                            </m:sSubSupPr>
                            <m:e>
                              <m:r>
                                <m:rPr>
                                  <m:sty m:val="p"/>
                                </m:rPr>
                                <w:rPr>
                                  <w:rFonts w:ascii="Cambria Math" w:hAnsi="Cambria Math"/>
                                  <w:sz w:val="24"/>
                                </w:rPr>
                                <m:t>D</m:t>
                              </m:r>
                            </m:e>
                            <m:sub>
                              <m:r>
                                <m:rPr>
                                  <m:sty m:val="p"/>
                                </m:rPr>
                                <w:rPr>
                                  <w:rFonts w:ascii="Cambria Math" w:hAnsi="Cambria Math"/>
                                  <w:sz w:val="24"/>
                                </w:rPr>
                                <m:t>o</m:t>
                              </m:r>
                            </m:sub>
                            <m:sup>
                              <m:r>
                                <m:rPr>
                                  <m:sty m:val="p"/>
                                </m:rPr>
                                <w:rPr>
                                  <w:rFonts w:ascii="Cambria Math" w:hAnsi="Cambria Math"/>
                                  <w:sz w:val="24"/>
                                </w:rPr>
                                <m:t>t</m:t>
                              </m:r>
                            </m:sup>
                          </m:sSubSup>
                          <m:d>
                            <m:dPr>
                              <m:ctrlPr>
                                <w:rPr>
                                  <w:rFonts w:ascii="Cambria Math" w:hAnsi="Cambria Math"/>
                                  <w:sz w:val="24"/>
                                </w:rPr>
                              </m:ctrlPr>
                            </m:dPr>
                            <m:e>
                              <m:sSup>
                                <m:sSupPr>
                                  <m:ctrlPr>
                                    <w:rPr>
                                      <w:rFonts w:ascii="Cambria Math" w:hAnsi="Cambria Math"/>
                                      <w:sz w:val="24"/>
                                    </w:rPr>
                                  </m:ctrlPr>
                                </m:sSupPr>
                                <m:e>
                                  <m:acc>
                                    <m:accPr>
                                      <m:chr m:val="⃗"/>
                                      <m:ctrlPr>
                                        <w:rPr>
                                          <w:rFonts w:ascii="Cambria Math" w:hAnsi="Cambria Math"/>
                                          <w:sz w:val="24"/>
                                        </w:rPr>
                                      </m:ctrlPr>
                                    </m:accPr>
                                    <m:e>
                                      <m:r>
                                        <m:rPr>
                                          <m:sty m:val="p"/>
                                        </m:rPr>
                                        <w:rPr>
                                          <w:rFonts w:ascii="Cambria Math" w:hAnsi="Cambria Math"/>
                                          <w:sz w:val="24"/>
                                        </w:rPr>
                                        <m:t>x</m:t>
                                      </m:r>
                                    </m:e>
                                  </m:acc>
                                </m:e>
                                <m:sup>
                                  <m:r>
                                    <m:rPr>
                                      <m:sty m:val="p"/>
                                    </m:rPr>
                                    <w:rPr>
                                      <w:rFonts w:ascii="Cambria Math" w:hAnsi="Cambria Math"/>
                                      <w:sz w:val="24"/>
                                    </w:rPr>
                                    <m:t>t+1</m:t>
                                  </m:r>
                                </m:sup>
                              </m:sSup>
                              <m:r>
                                <m:rPr>
                                  <m:sty m:val="p"/>
                                </m:rPr>
                                <w:rPr>
                                  <w:rFonts w:ascii="Cambria Math" w:hAnsi="Cambria Math"/>
                                  <w:sz w:val="24"/>
                                </w:rPr>
                                <m:t>,</m:t>
                              </m:r>
                              <m:sSup>
                                <m:sSupPr>
                                  <m:ctrlPr>
                                    <w:rPr>
                                      <w:rFonts w:ascii="Cambria Math" w:hAnsi="Cambria Math"/>
                                      <w:sz w:val="24"/>
                                    </w:rPr>
                                  </m:ctrlPr>
                                </m:sSupPr>
                                <m:e>
                                  <m:acc>
                                    <m:accPr>
                                      <m:chr m:val="⃗"/>
                                      <m:ctrlPr>
                                        <w:rPr>
                                          <w:rFonts w:ascii="Cambria Math" w:hAnsi="Cambria Math"/>
                                          <w:sz w:val="24"/>
                                        </w:rPr>
                                      </m:ctrlPr>
                                    </m:accPr>
                                    <m:e>
                                      <m:r>
                                        <m:rPr>
                                          <m:sty m:val="p"/>
                                        </m:rPr>
                                        <w:rPr>
                                          <w:rFonts w:ascii="Cambria Math" w:hAnsi="Cambria Math"/>
                                          <w:sz w:val="24"/>
                                        </w:rPr>
                                        <m:t>y</m:t>
                                      </m:r>
                                    </m:e>
                                  </m:acc>
                                </m:e>
                                <m:sup>
                                  <m:r>
                                    <m:rPr>
                                      <m:sty m:val="p"/>
                                    </m:rPr>
                                    <w:rPr>
                                      <w:rFonts w:ascii="Cambria Math" w:hAnsi="Cambria Math"/>
                                      <w:sz w:val="24"/>
                                    </w:rPr>
                                    <m:t>t+1</m:t>
                                  </m:r>
                                </m:sup>
                              </m:sSup>
                            </m:e>
                          </m:d>
                        </m:num>
                        <m:den>
                          <m:sSubSup>
                            <m:sSubSupPr>
                              <m:ctrlPr>
                                <w:rPr>
                                  <w:rFonts w:ascii="Cambria Math" w:hAnsi="Cambria Math"/>
                                  <w:sz w:val="24"/>
                                </w:rPr>
                              </m:ctrlPr>
                            </m:sSubSupPr>
                            <m:e>
                              <m:r>
                                <m:rPr>
                                  <m:sty m:val="p"/>
                                </m:rPr>
                                <w:rPr>
                                  <w:rFonts w:ascii="Cambria Math" w:hAnsi="Cambria Math"/>
                                  <w:sz w:val="24"/>
                                </w:rPr>
                                <m:t>D</m:t>
                              </m:r>
                            </m:e>
                            <m:sub>
                              <m:r>
                                <m:rPr>
                                  <m:sty m:val="p"/>
                                </m:rPr>
                                <w:rPr>
                                  <w:rFonts w:ascii="Cambria Math" w:hAnsi="Cambria Math"/>
                                  <w:sz w:val="24"/>
                                </w:rPr>
                                <m:t>o</m:t>
                              </m:r>
                            </m:sub>
                            <m:sup>
                              <m:r>
                                <m:rPr>
                                  <m:sty m:val="p"/>
                                </m:rPr>
                                <w:rPr>
                                  <w:rFonts w:ascii="Cambria Math" w:hAnsi="Cambria Math"/>
                                  <w:sz w:val="24"/>
                                </w:rPr>
                                <m:t>t+1</m:t>
                              </m:r>
                            </m:sup>
                          </m:sSubSup>
                          <m:d>
                            <m:dPr>
                              <m:ctrlPr>
                                <w:rPr>
                                  <w:rFonts w:ascii="Cambria Math" w:hAnsi="Cambria Math"/>
                                  <w:sz w:val="24"/>
                                </w:rPr>
                              </m:ctrlPr>
                            </m:dPr>
                            <m:e>
                              <m:sSup>
                                <m:sSupPr>
                                  <m:ctrlPr>
                                    <w:rPr>
                                      <w:rFonts w:ascii="Cambria Math" w:hAnsi="Cambria Math"/>
                                      <w:sz w:val="24"/>
                                    </w:rPr>
                                  </m:ctrlPr>
                                </m:sSupPr>
                                <m:e>
                                  <m:acc>
                                    <m:accPr>
                                      <m:chr m:val="⃗"/>
                                      <m:ctrlPr>
                                        <w:rPr>
                                          <w:rFonts w:ascii="Cambria Math" w:hAnsi="Cambria Math"/>
                                          <w:sz w:val="24"/>
                                        </w:rPr>
                                      </m:ctrlPr>
                                    </m:accPr>
                                    <m:e>
                                      <m:r>
                                        <m:rPr>
                                          <m:sty m:val="p"/>
                                        </m:rPr>
                                        <w:rPr>
                                          <w:rFonts w:ascii="Cambria Math" w:hAnsi="Cambria Math"/>
                                          <w:sz w:val="24"/>
                                        </w:rPr>
                                        <m:t>x</m:t>
                                      </m:r>
                                    </m:e>
                                  </m:acc>
                                </m:e>
                                <m:sup>
                                  <m:r>
                                    <m:rPr>
                                      <m:sty m:val="p"/>
                                    </m:rPr>
                                    <w:rPr>
                                      <w:rFonts w:ascii="Cambria Math" w:hAnsi="Cambria Math"/>
                                      <w:sz w:val="24"/>
                                    </w:rPr>
                                    <m:t>t+1</m:t>
                                  </m:r>
                                </m:sup>
                              </m:sSup>
                              <m:r>
                                <m:rPr>
                                  <m:sty m:val="p"/>
                                </m:rPr>
                                <w:rPr>
                                  <w:rFonts w:ascii="Cambria Math" w:hAnsi="Cambria Math"/>
                                  <w:sz w:val="24"/>
                                </w:rPr>
                                <m:t>,</m:t>
                              </m:r>
                              <m:sSup>
                                <m:sSupPr>
                                  <m:ctrlPr>
                                    <w:rPr>
                                      <w:rFonts w:ascii="Cambria Math" w:hAnsi="Cambria Math"/>
                                      <w:sz w:val="24"/>
                                    </w:rPr>
                                  </m:ctrlPr>
                                </m:sSupPr>
                                <m:e>
                                  <m:acc>
                                    <m:accPr>
                                      <m:chr m:val="⃗"/>
                                      <m:ctrlPr>
                                        <w:rPr>
                                          <w:rFonts w:ascii="Cambria Math" w:hAnsi="Cambria Math"/>
                                          <w:sz w:val="24"/>
                                        </w:rPr>
                                      </m:ctrlPr>
                                    </m:accPr>
                                    <m:e>
                                      <m:r>
                                        <m:rPr>
                                          <m:sty m:val="p"/>
                                        </m:rPr>
                                        <w:rPr>
                                          <w:rFonts w:ascii="Cambria Math" w:hAnsi="Cambria Math"/>
                                          <w:sz w:val="24"/>
                                        </w:rPr>
                                        <m:t>y</m:t>
                                      </m:r>
                                    </m:e>
                                  </m:acc>
                                </m:e>
                                <m:sup>
                                  <m:r>
                                    <m:rPr>
                                      <m:sty m:val="p"/>
                                    </m:rPr>
                                    <w:rPr>
                                      <w:rFonts w:ascii="Cambria Math" w:hAnsi="Cambria Math"/>
                                      <w:sz w:val="24"/>
                                    </w:rPr>
                                    <m:t>t+1</m:t>
                                  </m:r>
                                </m:sup>
                              </m:sSup>
                            </m:e>
                          </m:d>
                        </m:den>
                      </m:f>
                    </m:e>
                  </m:d>
                  <m:d>
                    <m:dPr>
                      <m:ctrlPr>
                        <w:rPr>
                          <w:rFonts w:ascii="Cambria Math" w:hAnsi="Cambria Math"/>
                          <w:sz w:val="24"/>
                        </w:rPr>
                      </m:ctrlPr>
                    </m:dPr>
                    <m:e>
                      <m:f>
                        <m:fPr>
                          <m:ctrlPr>
                            <w:rPr>
                              <w:rFonts w:ascii="Cambria Math" w:hAnsi="Cambria Math"/>
                              <w:sz w:val="24"/>
                            </w:rPr>
                          </m:ctrlPr>
                        </m:fPr>
                        <m:num>
                          <m:sSubSup>
                            <m:sSubSupPr>
                              <m:ctrlPr>
                                <w:rPr>
                                  <w:rFonts w:ascii="Cambria Math" w:hAnsi="Cambria Math"/>
                                  <w:sz w:val="24"/>
                                </w:rPr>
                              </m:ctrlPr>
                            </m:sSubSupPr>
                            <m:e>
                              <m:r>
                                <m:rPr>
                                  <m:sty m:val="p"/>
                                </m:rPr>
                                <w:rPr>
                                  <w:rFonts w:ascii="Cambria Math" w:hAnsi="Cambria Math"/>
                                  <w:sz w:val="24"/>
                                </w:rPr>
                                <m:t>D</m:t>
                              </m:r>
                            </m:e>
                            <m:sub>
                              <m:r>
                                <m:rPr>
                                  <m:sty m:val="p"/>
                                </m:rPr>
                                <w:rPr>
                                  <w:rFonts w:ascii="Cambria Math" w:hAnsi="Cambria Math"/>
                                  <w:sz w:val="24"/>
                                </w:rPr>
                                <m:t>o</m:t>
                              </m:r>
                            </m:sub>
                            <m:sup>
                              <m:r>
                                <m:rPr>
                                  <m:sty m:val="p"/>
                                </m:rPr>
                                <w:rPr>
                                  <w:rFonts w:ascii="Cambria Math" w:hAnsi="Cambria Math"/>
                                  <w:sz w:val="24"/>
                                </w:rPr>
                                <m:t>t</m:t>
                              </m:r>
                            </m:sup>
                          </m:sSubSup>
                          <m:d>
                            <m:dPr>
                              <m:ctrlPr>
                                <w:rPr>
                                  <w:rFonts w:ascii="Cambria Math" w:hAnsi="Cambria Math"/>
                                  <w:sz w:val="24"/>
                                </w:rPr>
                              </m:ctrlPr>
                            </m:dPr>
                            <m:e>
                              <m:sSup>
                                <m:sSupPr>
                                  <m:ctrlPr>
                                    <w:rPr>
                                      <w:rFonts w:ascii="Cambria Math" w:hAnsi="Cambria Math"/>
                                      <w:sz w:val="24"/>
                                    </w:rPr>
                                  </m:ctrlPr>
                                </m:sSupPr>
                                <m:e>
                                  <m:acc>
                                    <m:accPr>
                                      <m:chr m:val="⃗"/>
                                      <m:ctrlPr>
                                        <w:rPr>
                                          <w:rFonts w:ascii="Cambria Math" w:hAnsi="Cambria Math"/>
                                          <w:sz w:val="24"/>
                                        </w:rPr>
                                      </m:ctrlPr>
                                    </m:accPr>
                                    <m:e>
                                      <m:r>
                                        <m:rPr>
                                          <m:sty m:val="p"/>
                                        </m:rPr>
                                        <w:rPr>
                                          <w:rFonts w:ascii="Cambria Math" w:hAnsi="Cambria Math"/>
                                          <w:sz w:val="24"/>
                                        </w:rPr>
                                        <m:t>x</m:t>
                                      </m:r>
                                    </m:e>
                                  </m:acc>
                                </m:e>
                                <m:sup>
                                  <m:r>
                                    <m:rPr>
                                      <m:sty m:val="p"/>
                                    </m:rPr>
                                    <w:rPr>
                                      <w:rFonts w:ascii="Cambria Math" w:hAnsi="Cambria Math"/>
                                      <w:sz w:val="24"/>
                                    </w:rPr>
                                    <m:t>t</m:t>
                                  </m:r>
                                </m:sup>
                              </m:sSup>
                              <m:r>
                                <m:rPr>
                                  <m:sty m:val="p"/>
                                </m:rPr>
                                <w:rPr>
                                  <w:rFonts w:ascii="Cambria Math" w:hAnsi="Cambria Math"/>
                                  <w:sz w:val="24"/>
                                </w:rPr>
                                <m:t>,</m:t>
                              </m:r>
                              <m:sSup>
                                <m:sSupPr>
                                  <m:ctrlPr>
                                    <w:rPr>
                                      <w:rFonts w:ascii="Cambria Math" w:hAnsi="Cambria Math"/>
                                      <w:sz w:val="24"/>
                                    </w:rPr>
                                  </m:ctrlPr>
                                </m:sSupPr>
                                <m:e>
                                  <m:acc>
                                    <m:accPr>
                                      <m:chr m:val="⃗"/>
                                      <m:ctrlPr>
                                        <w:rPr>
                                          <w:rFonts w:ascii="Cambria Math" w:hAnsi="Cambria Math"/>
                                          <w:sz w:val="24"/>
                                        </w:rPr>
                                      </m:ctrlPr>
                                    </m:accPr>
                                    <m:e>
                                      <m:r>
                                        <m:rPr>
                                          <m:sty m:val="p"/>
                                        </m:rPr>
                                        <w:rPr>
                                          <w:rFonts w:ascii="Cambria Math" w:hAnsi="Cambria Math"/>
                                          <w:sz w:val="24"/>
                                        </w:rPr>
                                        <m:t>y</m:t>
                                      </m:r>
                                    </m:e>
                                  </m:acc>
                                </m:e>
                                <m:sup>
                                  <m:r>
                                    <m:rPr>
                                      <m:sty m:val="p"/>
                                    </m:rPr>
                                    <w:rPr>
                                      <w:rFonts w:ascii="Cambria Math" w:hAnsi="Cambria Math"/>
                                      <w:sz w:val="24"/>
                                    </w:rPr>
                                    <m:t>t</m:t>
                                  </m:r>
                                </m:sup>
                              </m:sSup>
                            </m:e>
                          </m:d>
                        </m:num>
                        <m:den>
                          <m:sSubSup>
                            <m:sSubSupPr>
                              <m:ctrlPr>
                                <w:rPr>
                                  <w:rFonts w:ascii="Cambria Math" w:hAnsi="Cambria Math"/>
                                  <w:sz w:val="24"/>
                                </w:rPr>
                              </m:ctrlPr>
                            </m:sSubSupPr>
                            <m:e>
                              <m:r>
                                <m:rPr>
                                  <m:sty m:val="p"/>
                                </m:rPr>
                                <w:rPr>
                                  <w:rFonts w:ascii="Cambria Math" w:hAnsi="Cambria Math"/>
                                  <w:sz w:val="24"/>
                                </w:rPr>
                                <m:t>D</m:t>
                              </m:r>
                            </m:e>
                            <m:sub>
                              <m:r>
                                <m:rPr>
                                  <m:sty m:val="p"/>
                                </m:rPr>
                                <w:rPr>
                                  <w:rFonts w:ascii="Cambria Math" w:hAnsi="Cambria Math"/>
                                  <w:sz w:val="24"/>
                                </w:rPr>
                                <m:t>o</m:t>
                              </m:r>
                            </m:sub>
                            <m:sup>
                              <m:r>
                                <m:rPr>
                                  <m:sty m:val="p"/>
                                </m:rPr>
                                <w:rPr>
                                  <w:rFonts w:ascii="Cambria Math" w:hAnsi="Cambria Math"/>
                                  <w:sz w:val="24"/>
                                </w:rPr>
                                <m:t>t+1</m:t>
                              </m:r>
                            </m:sup>
                          </m:sSubSup>
                          <m:d>
                            <m:dPr>
                              <m:ctrlPr>
                                <w:rPr>
                                  <w:rFonts w:ascii="Cambria Math" w:hAnsi="Cambria Math"/>
                                  <w:sz w:val="24"/>
                                </w:rPr>
                              </m:ctrlPr>
                            </m:dPr>
                            <m:e>
                              <m:sSup>
                                <m:sSupPr>
                                  <m:ctrlPr>
                                    <w:rPr>
                                      <w:rFonts w:ascii="Cambria Math" w:hAnsi="Cambria Math"/>
                                      <w:sz w:val="24"/>
                                    </w:rPr>
                                  </m:ctrlPr>
                                </m:sSupPr>
                                <m:e>
                                  <m:acc>
                                    <m:accPr>
                                      <m:chr m:val="⃗"/>
                                      <m:ctrlPr>
                                        <w:rPr>
                                          <w:rFonts w:ascii="Cambria Math" w:hAnsi="Cambria Math"/>
                                          <w:sz w:val="24"/>
                                        </w:rPr>
                                      </m:ctrlPr>
                                    </m:accPr>
                                    <m:e>
                                      <m:r>
                                        <m:rPr>
                                          <m:sty m:val="p"/>
                                        </m:rPr>
                                        <w:rPr>
                                          <w:rFonts w:ascii="Cambria Math" w:hAnsi="Cambria Math"/>
                                          <w:sz w:val="24"/>
                                        </w:rPr>
                                        <m:t>x</m:t>
                                      </m:r>
                                    </m:e>
                                  </m:acc>
                                </m:e>
                                <m:sup>
                                  <m:r>
                                    <m:rPr>
                                      <m:sty m:val="p"/>
                                    </m:rPr>
                                    <w:rPr>
                                      <w:rFonts w:ascii="Cambria Math" w:hAnsi="Cambria Math"/>
                                      <w:sz w:val="24"/>
                                    </w:rPr>
                                    <m:t>t</m:t>
                                  </m:r>
                                </m:sup>
                              </m:sSup>
                              <m:r>
                                <m:rPr>
                                  <m:sty m:val="p"/>
                                </m:rPr>
                                <w:rPr>
                                  <w:rFonts w:ascii="Cambria Math" w:hAnsi="Cambria Math"/>
                                  <w:sz w:val="24"/>
                                </w:rPr>
                                <m:t>,</m:t>
                              </m:r>
                              <m:sSup>
                                <m:sSupPr>
                                  <m:ctrlPr>
                                    <w:rPr>
                                      <w:rFonts w:ascii="Cambria Math" w:hAnsi="Cambria Math"/>
                                      <w:sz w:val="24"/>
                                    </w:rPr>
                                  </m:ctrlPr>
                                </m:sSupPr>
                                <m:e>
                                  <m:acc>
                                    <m:accPr>
                                      <m:chr m:val="⃗"/>
                                      <m:ctrlPr>
                                        <w:rPr>
                                          <w:rFonts w:ascii="Cambria Math" w:hAnsi="Cambria Math"/>
                                          <w:sz w:val="24"/>
                                        </w:rPr>
                                      </m:ctrlPr>
                                    </m:accPr>
                                    <m:e>
                                      <m:r>
                                        <m:rPr>
                                          <m:sty m:val="p"/>
                                        </m:rPr>
                                        <w:rPr>
                                          <w:rFonts w:ascii="Cambria Math" w:hAnsi="Cambria Math"/>
                                          <w:sz w:val="24"/>
                                        </w:rPr>
                                        <m:t>y</m:t>
                                      </m:r>
                                    </m:e>
                                  </m:acc>
                                </m:e>
                                <m:sup>
                                  <m:r>
                                    <m:rPr>
                                      <m:sty m:val="p"/>
                                    </m:rPr>
                                    <w:rPr>
                                      <w:rFonts w:ascii="Cambria Math" w:hAnsi="Cambria Math"/>
                                      <w:sz w:val="24"/>
                                    </w:rPr>
                                    <m:t>t</m:t>
                                  </m:r>
                                </m:sup>
                              </m:sSup>
                            </m:e>
                          </m:d>
                        </m:den>
                      </m:f>
                    </m:e>
                  </m:d>
                </m:e>
              </m:d>
            </m:e>
            <m:sup>
              <m:f>
                <m:fPr>
                  <m:ctrlPr>
                    <w:rPr>
                      <w:rFonts w:ascii="Cambria Math" w:hAnsi="Cambria Math"/>
                      <w:sz w:val="24"/>
                    </w:rPr>
                  </m:ctrlPr>
                </m:fPr>
                <m:num>
                  <m:r>
                    <m:rPr>
                      <m:sty m:val="p"/>
                    </m:rPr>
                    <w:rPr>
                      <w:rFonts w:ascii="Cambria Math" w:hAnsi="Cambria Math"/>
                      <w:sz w:val="24"/>
                    </w:rPr>
                    <m:t>1</m:t>
                  </m:r>
                </m:num>
                <m:den>
                  <m:r>
                    <m:rPr>
                      <m:sty m:val="p"/>
                    </m:rPr>
                    <w:rPr>
                      <w:rFonts w:ascii="Cambria Math" w:hAnsi="Cambria Math"/>
                      <w:sz w:val="24"/>
                    </w:rPr>
                    <m:t>2</m:t>
                  </m:r>
                </m:den>
              </m:f>
            </m:sup>
          </m:sSup>
        </m:oMath>
      </m:oMathPara>
    </w:p>
    <w:p w:rsidR="00051959" w:rsidRPr="00A425C1" w:rsidRDefault="00051959" w:rsidP="0047580B">
      <w:pPr>
        <w:ind w:firstLine="420"/>
        <w:rPr>
          <w:rFonts w:ascii="宋体" w:hAnsi="宋体"/>
          <w:szCs w:val="21"/>
        </w:rPr>
      </w:pPr>
      <w:r w:rsidRPr="00A425C1">
        <w:rPr>
          <w:rFonts w:ascii="宋体" w:hAnsi="宋体" w:hint="eastAsia"/>
          <w:szCs w:val="21"/>
        </w:rPr>
        <w:t>上述公式描述了t+1期的投入产出组合</w:t>
      </w:r>
      <m:oMath>
        <m:d>
          <m:dPr>
            <m:ctrlPr>
              <w:rPr>
                <w:rFonts w:ascii="Cambria Math" w:hAnsi="Cambria Math"/>
                <w:sz w:val="24"/>
              </w:rPr>
            </m:ctrlPr>
          </m:dPr>
          <m:e>
            <m:sSup>
              <m:sSupPr>
                <m:ctrlPr>
                  <w:rPr>
                    <w:rFonts w:ascii="Cambria Math" w:hAnsi="Cambria Math"/>
                    <w:sz w:val="24"/>
                  </w:rPr>
                </m:ctrlPr>
              </m:sSupPr>
              <m:e>
                <m:acc>
                  <m:accPr>
                    <m:chr m:val="⃗"/>
                    <m:ctrlPr>
                      <w:rPr>
                        <w:rFonts w:ascii="Cambria Math" w:hAnsi="Cambria Math"/>
                        <w:sz w:val="24"/>
                      </w:rPr>
                    </m:ctrlPr>
                  </m:accPr>
                  <m:e>
                    <m:r>
                      <m:rPr>
                        <m:sty m:val="p"/>
                      </m:rPr>
                      <w:rPr>
                        <w:rFonts w:ascii="Cambria Math" w:hAnsi="Cambria Math"/>
                        <w:sz w:val="24"/>
                      </w:rPr>
                      <m:t>x</m:t>
                    </m:r>
                  </m:e>
                </m:acc>
              </m:e>
              <m:sup>
                <m:r>
                  <m:rPr>
                    <m:sty m:val="p"/>
                  </m:rPr>
                  <w:rPr>
                    <w:rFonts w:ascii="Cambria Math" w:hAnsi="Cambria Math"/>
                    <w:sz w:val="24"/>
                  </w:rPr>
                  <m:t>t+1</m:t>
                </m:r>
              </m:sup>
            </m:sSup>
            <m:r>
              <m:rPr>
                <m:sty m:val="p"/>
              </m:rPr>
              <w:rPr>
                <w:rFonts w:ascii="Cambria Math" w:hAnsi="Cambria Math"/>
                <w:sz w:val="24"/>
              </w:rPr>
              <m:t>,</m:t>
            </m:r>
            <m:sSup>
              <m:sSupPr>
                <m:ctrlPr>
                  <w:rPr>
                    <w:rFonts w:ascii="Cambria Math" w:hAnsi="Cambria Math"/>
                    <w:sz w:val="24"/>
                  </w:rPr>
                </m:ctrlPr>
              </m:sSupPr>
              <m:e>
                <m:acc>
                  <m:accPr>
                    <m:chr m:val="⃗"/>
                    <m:ctrlPr>
                      <w:rPr>
                        <w:rFonts w:ascii="Cambria Math" w:hAnsi="Cambria Math"/>
                        <w:sz w:val="24"/>
                      </w:rPr>
                    </m:ctrlPr>
                  </m:accPr>
                  <m:e>
                    <m:r>
                      <m:rPr>
                        <m:sty m:val="p"/>
                      </m:rPr>
                      <w:rPr>
                        <w:rFonts w:ascii="Cambria Math" w:hAnsi="Cambria Math"/>
                        <w:sz w:val="24"/>
                      </w:rPr>
                      <m:t>y</m:t>
                    </m:r>
                  </m:e>
                </m:acc>
              </m:e>
              <m:sup>
                <m:r>
                  <m:rPr>
                    <m:sty m:val="p"/>
                  </m:rPr>
                  <w:rPr>
                    <w:rFonts w:ascii="Cambria Math" w:hAnsi="Cambria Math"/>
                    <w:sz w:val="24"/>
                  </w:rPr>
                  <m:t>t+1</m:t>
                </m:r>
              </m:sup>
            </m:sSup>
          </m:e>
        </m:d>
      </m:oMath>
      <w:r w:rsidRPr="00A425C1">
        <w:rPr>
          <w:rFonts w:ascii="宋体" w:hAnsi="宋体" w:hint="eastAsia"/>
          <w:szCs w:val="21"/>
        </w:rPr>
        <w:t>相对于t期的投入产出组合</w:t>
      </w:r>
      <m:oMath>
        <m:d>
          <m:dPr>
            <m:ctrlPr>
              <w:rPr>
                <w:rFonts w:ascii="Cambria Math" w:hAnsi="Cambria Math"/>
                <w:sz w:val="24"/>
              </w:rPr>
            </m:ctrlPr>
          </m:dPr>
          <m:e>
            <m:sSup>
              <m:sSupPr>
                <m:ctrlPr>
                  <w:rPr>
                    <w:rFonts w:ascii="Cambria Math" w:hAnsi="Cambria Math"/>
                    <w:sz w:val="24"/>
                  </w:rPr>
                </m:ctrlPr>
              </m:sSupPr>
              <m:e>
                <m:acc>
                  <m:accPr>
                    <m:chr m:val="⃗"/>
                    <m:ctrlPr>
                      <w:rPr>
                        <w:rFonts w:ascii="Cambria Math" w:hAnsi="Cambria Math"/>
                        <w:sz w:val="24"/>
                      </w:rPr>
                    </m:ctrlPr>
                  </m:accPr>
                  <m:e>
                    <m:r>
                      <m:rPr>
                        <m:sty m:val="p"/>
                      </m:rPr>
                      <w:rPr>
                        <w:rFonts w:ascii="Cambria Math" w:hAnsi="Cambria Math"/>
                        <w:sz w:val="24"/>
                      </w:rPr>
                      <m:t>x</m:t>
                    </m:r>
                  </m:e>
                </m:acc>
              </m:e>
              <m:sup>
                <m:r>
                  <m:rPr>
                    <m:sty m:val="p"/>
                  </m:rPr>
                  <w:rPr>
                    <w:rFonts w:ascii="Cambria Math" w:hAnsi="Cambria Math"/>
                    <w:sz w:val="24"/>
                  </w:rPr>
                  <m:t>t</m:t>
                </m:r>
              </m:sup>
            </m:sSup>
            <m:r>
              <m:rPr>
                <m:sty m:val="p"/>
              </m:rPr>
              <w:rPr>
                <w:rFonts w:ascii="Cambria Math" w:hAnsi="Cambria Math"/>
                <w:sz w:val="24"/>
              </w:rPr>
              <m:t>,</m:t>
            </m:r>
            <m:sSup>
              <m:sSupPr>
                <m:ctrlPr>
                  <w:rPr>
                    <w:rFonts w:ascii="Cambria Math" w:hAnsi="Cambria Math"/>
                    <w:sz w:val="24"/>
                  </w:rPr>
                </m:ctrlPr>
              </m:sSupPr>
              <m:e>
                <m:acc>
                  <m:accPr>
                    <m:chr m:val="⃗"/>
                    <m:ctrlPr>
                      <w:rPr>
                        <w:rFonts w:ascii="Cambria Math" w:hAnsi="Cambria Math"/>
                        <w:sz w:val="24"/>
                      </w:rPr>
                    </m:ctrlPr>
                  </m:accPr>
                  <m:e>
                    <m:r>
                      <m:rPr>
                        <m:sty m:val="p"/>
                      </m:rPr>
                      <w:rPr>
                        <w:rFonts w:ascii="Cambria Math" w:hAnsi="Cambria Math"/>
                        <w:sz w:val="24"/>
                      </w:rPr>
                      <m:t>y</m:t>
                    </m:r>
                  </m:e>
                </m:acc>
              </m:e>
              <m:sup>
                <m:r>
                  <m:rPr>
                    <m:sty m:val="p"/>
                  </m:rPr>
                  <w:rPr>
                    <w:rFonts w:ascii="Cambria Math" w:hAnsi="Cambria Math"/>
                    <w:sz w:val="24"/>
                  </w:rPr>
                  <m:t>t</m:t>
                </m:r>
              </m:sup>
            </m:sSup>
          </m:e>
        </m:d>
      </m:oMath>
      <w:r w:rsidRPr="00A425C1">
        <w:rPr>
          <w:rFonts w:ascii="宋体" w:hAnsi="宋体" w:hint="eastAsia"/>
          <w:szCs w:val="21"/>
        </w:rPr>
        <w:t>的生产率变化，又称为全要素生产率的变化，即</w:t>
      </w:r>
      <w:proofErr w:type="spellStart"/>
      <w:r w:rsidRPr="00A425C1">
        <w:rPr>
          <w:rFonts w:ascii="宋体" w:hAnsi="宋体" w:hint="eastAsia"/>
          <w:szCs w:val="21"/>
        </w:rPr>
        <w:t>Malmquist</w:t>
      </w:r>
      <w:proofErr w:type="spellEnd"/>
      <w:r w:rsidRPr="00A425C1">
        <w:rPr>
          <w:rFonts w:ascii="宋体" w:hAnsi="宋体" w:hint="eastAsia"/>
          <w:szCs w:val="21"/>
        </w:rPr>
        <w:t>生产率指数。进一步地公式可分解成两项：乘号左边表示技术效率变化指数，乘号右边代表技术变化指数。由于技术效率变化指数是在规模报酬不变假设下计算而得的，它又可以分解为规模报酬变化假设下的纯技术效率变化指数和规模效率变化指数。上述</w:t>
      </w:r>
      <w:proofErr w:type="spellStart"/>
      <w:r w:rsidRPr="00A425C1">
        <w:rPr>
          <w:rFonts w:ascii="宋体" w:hAnsi="宋体" w:hint="eastAsia"/>
          <w:szCs w:val="21"/>
        </w:rPr>
        <w:t>Malmquist</w:t>
      </w:r>
      <w:proofErr w:type="spellEnd"/>
      <w:r w:rsidRPr="00A425C1">
        <w:rPr>
          <w:rFonts w:ascii="宋体" w:hAnsi="宋体" w:hint="eastAsia"/>
          <w:szCs w:val="21"/>
        </w:rPr>
        <w:t>生产率指数最终可以写成如下形式：</w:t>
      </w:r>
    </w:p>
    <w:p w:rsidR="00051959" w:rsidRPr="00A425C1" w:rsidRDefault="00051959" w:rsidP="0047580B">
      <w:pPr>
        <w:ind w:firstLine="420"/>
        <w:rPr>
          <w:rFonts w:ascii="宋体" w:hAnsi="宋体"/>
          <w:szCs w:val="21"/>
        </w:rPr>
      </w:pPr>
      <m:oMathPara>
        <m:oMath>
          <m:sSub>
            <m:sSubPr>
              <m:ctrlPr>
                <w:rPr>
                  <w:rFonts w:ascii="Cambria Math" w:hAnsi="Cambria Math"/>
                  <w:sz w:val="24"/>
                </w:rPr>
              </m:ctrlPr>
            </m:sSubPr>
            <m:e>
              <m:r>
                <m:rPr>
                  <m:sty m:val="p"/>
                </m:rPr>
                <w:rPr>
                  <w:rFonts w:ascii="Cambria Math" w:hAnsi="Cambria Math"/>
                  <w:sz w:val="24"/>
                </w:rPr>
                <m:t>M</m:t>
              </m:r>
            </m:e>
            <m:sub>
              <m:r>
                <m:rPr>
                  <m:sty m:val="p"/>
                </m:rPr>
                <w:rPr>
                  <w:rFonts w:ascii="Cambria Math" w:hAnsi="Cambria Math"/>
                  <w:sz w:val="24"/>
                </w:rPr>
                <m:t>o</m:t>
              </m:r>
            </m:sub>
          </m:sSub>
          <m:d>
            <m:dPr>
              <m:ctrlPr>
                <w:rPr>
                  <w:rFonts w:ascii="Cambria Math" w:hAnsi="Cambria Math"/>
                  <w:sz w:val="24"/>
                </w:rPr>
              </m:ctrlPr>
            </m:dPr>
            <m:e>
              <m:sSup>
                <m:sSupPr>
                  <m:ctrlPr>
                    <w:rPr>
                      <w:rFonts w:ascii="Cambria Math" w:hAnsi="Cambria Math"/>
                      <w:sz w:val="24"/>
                    </w:rPr>
                  </m:ctrlPr>
                </m:sSupPr>
                <m:e>
                  <m:acc>
                    <m:accPr>
                      <m:chr m:val="⃗"/>
                      <m:ctrlPr>
                        <w:rPr>
                          <w:rFonts w:ascii="Cambria Math" w:hAnsi="Cambria Math"/>
                          <w:sz w:val="24"/>
                        </w:rPr>
                      </m:ctrlPr>
                    </m:accPr>
                    <m:e>
                      <m:r>
                        <m:rPr>
                          <m:sty m:val="p"/>
                        </m:rPr>
                        <w:rPr>
                          <w:rFonts w:ascii="Cambria Math" w:hAnsi="Cambria Math"/>
                          <w:sz w:val="24"/>
                        </w:rPr>
                        <m:t>x</m:t>
                      </m:r>
                    </m:e>
                  </m:acc>
                </m:e>
                <m:sup>
                  <m:r>
                    <m:rPr>
                      <m:sty m:val="p"/>
                    </m:rPr>
                    <w:rPr>
                      <w:rFonts w:ascii="Cambria Math" w:hAnsi="Cambria Math"/>
                      <w:sz w:val="24"/>
                    </w:rPr>
                    <m:t>t+1</m:t>
                  </m:r>
                </m:sup>
              </m:sSup>
              <m:r>
                <m:rPr>
                  <m:sty m:val="p"/>
                </m:rPr>
                <w:rPr>
                  <w:rFonts w:ascii="Cambria Math" w:hAnsi="Cambria Math"/>
                  <w:sz w:val="24"/>
                </w:rPr>
                <m:t>,</m:t>
              </m:r>
              <m:sSup>
                <m:sSupPr>
                  <m:ctrlPr>
                    <w:rPr>
                      <w:rFonts w:ascii="Cambria Math" w:hAnsi="Cambria Math"/>
                      <w:sz w:val="24"/>
                    </w:rPr>
                  </m:ctrlPr>
                </m:sSupPr>
                <m:e>
                  <m:acc>
                    <m:accPr>
                      <m:chr m:val="⃗"/>
                      <m:ctrlPr>
                        <w:rPr>
                          <w:rFonts w:ascii="Cambria Math" w:hAnsi="Cambria Math"/>
                          <w:sz w:val="24"/>
                        </w:rPr>
                      </m:ctrlPr>
                    </m:accPr>
                    <m:e>
                      <m:r>
                        <m:rPr>
                          <m:sty m:val="p"/>
                        </m:rPr>
                        <w:rPr>
                          <w:rFonts w:ascii="Cambria Math" w:hAnsi="Cambria Math"/>
                          <w:sz w:val="24"/>
                        </w:rPr>
                        <m:t>y</m:t>
                      </m:r>
                    </m:e>
                  </m:acc>
                </m:e>
                <m:sup>
                  <m:r>
                    <m:rPr>
                      <m:sty m:val="p"/>
                    </m:rPr>
                    <w:rPr>
                      <w:rFonts w:ascii="Cambria Math" w:hAnsi="Cambria Math"/>
                      <w:sz w:val="24"/>
                    </w:rPr>
                    <m:t>t+1</m:t>
                  </m:r>
                </m:sup>
              </m:sSup>
              <m:r>
                <m:rPr>
                  <m:sty m:val="p"/>
                </m:rPr>
                <w:rPr>
                  <w:rFonts w:ascii="Cambria Math" w:hAnsi="Cambria Math"/>
                  <w:sz w:val="24"/>
                </w:rPr>
                <m:t>,</m:t>
              </m:r>
              <m:sSup>
                <m:sSupPr>
                  <m:ctrlPr>
                    <w:rPr>
                      <w:rFonts w:ascii="Cambria Math" w:hAnsi="Cambria Math"/>
                      <w:sz w:val="24"/>
                    </w:rPr>
                  </m:ctrlPr>
                </m:sSupPr>
                <m:e>
                  <m:acc>
                    <m:accPr>
                      <m:chr m:val="⃗"/>
                      <m:ctrlPr>
                        <w:rPr>
                          <w:rFonts w:ascii="Cambria Math" w:hAnsi="Cambria Math"/>
                          <w:sz w:val="24"/>
                        </w:rPr>
                      </m:ctrlPr>
                    </m:accPr>
                    <m:e>
                      <m:r>
                        <m:rPr>
                          <m:sty m:val="p"/>
                        </m:rPr>
                        <w:rPr>
                          <w:rFonts w:ascii="Cambria Math" w:hAnsi="Cambria Math"/>
                          <w:sz w:val="24"/>
                        </w:rPr>
                        <m:t>x</m:t>
                      </m:r>
                    </m:e>
                  </m:acc>
                </m:e>
                <m:sup>
                  <m:r>
                    <m:rPr>
                      <m:sty m:val="p"/>
                    </m:rPr>
                    <w:rPr>
                      <w:rFonts w:ascii="Cambria Math" w:hAnsi="Cambria Math"/>
                      <w:sz w:val="24"/>
                    </w:rPr>
                    <m:t>t</m:t>
                  </m:r>
                </m:sup>
              </m:sSup>
              <m:r>
                <m:rPr>
                  <m:sty m:val="p"/>
                </m:rPr>
                <w:rPr>
                  <w:rFonts w:ascii="Cambria Math" w:hAnsi="Cambria Math"/>
                  <w:sz w:val="24"/>
                </w:rPr>
                <m:t>,</m:t>
              </m:r>
              <m:sSup>
                <m:sSupPr>
                  <m:ctrlPr>
                    <w:rPr>
                      <w:rFonts w:ascii="Cambria Math" w:hAnsi="Cambria Math"/>
                      <w:sz w:val="24"/>
                    </w:rPr>
                  </m:ctrlPr>
                </m:sSupPr>
                <m:e>
                  <m:acc>
                    <m:accPr>
                      <m:chr m:val="⃗"/>
                      <m:ctrlPr>
                        <w:rPr>
                          <w:rFonts w:ascii="Cambria Math" w:hAnsi="Cambria Math"/>
                          <w:sz w:val="24"/>
                        </w:rPr>
                      </m:ctrlPr>
                    </m:accPr>
                    <m:e>
                      <m:r>
                        <m:rPr>
                          <m:sty m:val="p"/>
                        </m:rPr>
                        <w:rPr>
                          <w:rFonts w:ascii="Cambria Math" w:hAnsi="Cambria Math"/>
                          <w:sz w:val="24"/>
                        </w:rPr>
                        <m:t>y</m:t>
                      </m:r>
                    </m:e>
                  </m:acc>
                </m:e>
                <m:sup>
                  <m:r>
                    <m:rPr>
                      <m:sty m:val="p"/>
                    </m:rPr>
                    <w:rPr>
                      <w:rFonts w:ascii="Cambria Math" w:hAnsi="Cambria Math"/>
                      <w:sz w:val="24"/>
                    </w:rPr>
                    <m:t>t</m:t>
                  </m:r>
                </m:sup>
              </m:sSup>
            </m:e>
          </m:d>
          <m:r>
            <m:rPr>
              <m:sty m:val="p"/>
            </m:rPr>
            <w:rPr>
              <w:rFonts w:ascii="Cambria Math" w:hAnsi="Cambria Math"/>
              <w:sz w:val="24"/>
            </w:rPr>
            <m:t>=EFFCH×TECHCH=PECH×SECH×TECHCH</m:t>
          </m:r>
        </m:oMath>
      </m:oMathPara>
    </w:p>
    <w:p w:rsidR="00051959" w:rsidRPr="00A425C1" w:rsidRDefault="00051959">
      <w:pPr>
        <w:rPr>
          <w:rFonts w:ascii="宋体" w:hAnsi="宋体"/>
          <w:szCs w:val="21"/>
        </w:rPr>
      </w:pPr>
      <w:r w:rsidRPr="00A425C1">
        <w:rPr>
          <w:rFonts w:ascii="宋体" w:hAnsi="宋体" w:hint="eastAsia"/>
          <w:szCs w:val="21"/>
        </w:rPr>
        <w:t xml:space="preserve">    上式中，EFFCH、TECHCH、PECH、SECH分别表示技术效率变化指数、技术变化指数、纯效率变化指数和规模效率变化指数。</w:t>
      </w:r>
    </w:p>
    <w:p w:rsidR="00051959" w:rsidRPr="00A425C1" w:rsidRDefault="00051959" w:rsidP="00F4009F">
      <w:pPr>
        <w:ind w:firstLine="420"/>
        <w:rPr>
          <w:rFonts w:ascii="宋体" w:hAnsi="宋体"/>
          <w:szCs w:val="21"/>
        </w:rPr>
      </w:pPr>
      <w:r w:rsidRPr="00A425C1">
        <w:rPr>
          <w:rFonts w:ascii="宋体" w:hAnsi="宋体" w:hint="eastAsia"/>
          <w:szCs w:val="21"/>
        </w:rPr>
        <w:t>运用DEAP（Version2.1）软件，选择规模报酬可变、</w:t>
      </w:r>
      <w:proofErr w:type="spellStart"/>
      <w:r w:rsidRPr="00A425C1">
        <w:rPr>
          <w:rFonts w:ascii="宋体" w:hAnsi="宋体" w:hint="eastAsia"/>
          <w:szCs w:val="21"/>
        </w:rPr>
        <w:t>Malmquist</w:t>
      </w:r>
      <w:proofErr w:type="spellEnd"/>
      <w:r w:rsidRPr="00A425C1">
        <w:rPr>
          <w:rFonts w:ascii="宋体" w:hAnsi="宋体" w:hint="eastAsia"/>
          <w:szCs w:val="21"/>
        </w:rPr>
        <w:t>指数方法计算中国对上海合作组织国家每一年相对于上一年的投资效率的变化情况。由于“一带一路”合作倡议是2013年提出的，我们以2013年为分界点分别计算2013之前和2013年之后的各项效率变化指标。表5给出了计算结果，2008-2012年技术效率变化指数得分为1.02,2013-2016年技术效率变化指数得分为1.08，这说明“一带一路”战略提出后，中国对上海合作组织国家的投资效率（经济联系度）提升了。从技术效率变化的分解因素来看，这主要是由于规模效率导致的，未来中国应进一步加强对上海合作组织国家投资。从技术变化指数来看，2013-2016年这段时间的得分小于2008-2012年这一时段，这主要是由于全球金融危机导致2008-2009年的得分下降，而2009-2010年的得分出现了大幅反弹；如果去除2009-2010年的大幅反弹的影响，“一带一路”战略实施后技术变化的得分也超过“一带一路”战略实施前。全要素变化指数的得分情况是“一带一路”战略实施后小于实施前，这主要是由于技术变化指数造成的。总的来讲，“一带一路”战略实施后中国对上海合作组织的投资效率有了较大提升。</w:t>
      </w:r>
    </w:p>
    <w:p w:rsidR="00051959" w:rsidRPr="00A425C1" w:rsidRDefault="00051959">
      <w:pPr>
        <w:rPr>
          <w:rFonts w:ascii="宋体" w:hAnsi="宋体"/>
          <w:szCs w:val="21"/>
        </w:rPr>
      </w:pPr>
    </w:p>
    <w:p w:rsidR="00051959" w:rsidRPr="00A425C1" w:rsidRDefault="00051959">
      <w:pPr>
        <w:rPr>
          <w:rFonts w:ascii="宋体" w:hAnsi="宋体"/>
          <w:szCs w:val="21"/>
        </w:rPr>
      </w:pPr>
    </w:p>
    <w:p w:rsidR="00051959" w:rsidRPr="00A425C1" w:rsidRDefault="00051959" w:rsidP="00F4009F">
      <w:pPr>
        <w:ind w:firstLine="420"/>
        <w:jc w:val="center"/>
        <w:rPr>
          <w:rFonts w:ascii="宋体" w:hAnsi="宋体"/>
          <w:szCs w:val="21"/>
        </w:rPr>
      </w:pPr>
      <w:r w:rsidRPr="00A425C1">
        <w:rPr>
          <w:rFonts w:ascii="宋体" w:hAnsi="宋体" w:hint="eastAsia"/>
          <w:szCs w:val="21"/>
        </w:rPr>
        <w:t>表5  中国对上海合作组织国家投资效率的</w:t>
      </w:r>
      <w:proofErr w:type="spellStart"/>
      <w:r w:rsidRPr="00A425C1">
        <w:rPr>
          <w:rFonts w:ascii="宋体" w:hAnsi="宋体" w:hint="eastAsia"/>
          <w:szCs w:val="21"/>
        </w:rPr>
        <w:t>Malmquist</w:t>
      </w:r>
      <w:proofErr w:type="spellEnd"/>
      <w:r w:rsidRPr="00A425C1">
        <w:rPr>
          <w:rFonts w:ascii="宋体" w:hAnsi="宋体" w:hint="eastAsia"/>
          <w:szCs w:val="21"/>
        </w:rPr>
        <w:t xml:space="preserve">指数及其分解  </w:t>
      </w:r>
    </w:p>
    <w:tbl>
      <w:tblPr>
        <w:tblW w:w="6804" w:type="dxa"/>
        <w:jc w:val="center"/>
        <w:tblInd w:w="108" w:type="dxa"/>
        <w:tblLook w:val="04A0"/>
      </w:tblPr>
      <w:tblGrid>
        <w:gridCol w:w="1206"/>
        <w:gridCol w:w="1159"/>
        <w:gridCol w:w="1037"/>
        <w:gridCol w:w="1032"/>
        <w:gridCol w:w="1256"/>
        <w:gridCol w:w="1114"/>
      </w:tblGrid>
      <w:tr w:rsidR="00051959" w:rsidRPr="00480374" w:rsidTr="000D4082">
        <w:trPr>
          <w:trHeight w:val="576"/>
          <w:jc w:val="center"/>
        </w:trPr>
        <w:tc>
          <w:tcPr>
            <w:tcW w:w="1206" w:type="dxa"/>
            <w:vMerge w:val="restart"/>
            <w:tcBorders>
              <w:top w:val="single" w:sz="8" w:space="0" w:color="auto"/>
              <w:left w:val="nil"/>
              <w:bottom w:val="single" w:sz="8" w:space="0" w:color="000000"/>
              <w:right w:val="nil"/>
            </w:tcBorders>
            <w:shd w:val="clear" w:color="auto" w:fill="auto"/>
            <w:noWrap/>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年份</w:t>
            </w:r>
          </w:p>
        </w:tc>
        <w:tc>
          <w:tcPr>
            <w:tcW w:w="1159" w:type="dxa"/>
            <w:tcBorders>
              <w:top w:val="single" w:sz="8" w:space="0" w:color="auto"/>
              <w:left w:val="nil"/>
              <w:bottom w:val="nil"/>
              <w:right w:val="nil"/>
            </w:tcBorders>
            <w:shd w:val="clear" w:color="auto" w:fill="auto"/>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①EFFCH      =③×④</w:t>
            </w:r>
          </w:p>
        </w:tc>
        <w:tc>
          <w:tcPr>
            <w:tcW w:w="1037" w:type="dxa"/>
            <w:tcBorders>
              <w:top w:val="single" w:sz="8" w:space="0" w:color="auto"/>
              <w:left w:val="nil"/>
              <w:bottom w:val="nil"/>
              <w:right w:val="nil"/>
            </w:tcBorders>
            <w:shd w:val="clear" w:color="auto" w:fill="auto"/>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②TECHCH</w:t>
            </w:r>
          </w:p>
        </w:tc>
        <w:tc>
          <w:tcPr>
            <w:tcW w:w="1032" w:type="dxa"/>
            <w:tcBorders>
              <w:top w:val="single" w:sz="8" w:space="0" w:color="auto"/>
              <w:left w:val="nil"/>
              <w:bottom w:val="nil"/>
              <w:right w:val="nil"/>
            </w:tcBorders>
            <w:shd w:val="clear" w:color="auto" w:fill="auto"/>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③PECH</w:t>
            </w:r>
          </w:p>
        </w:tc>
        <w:tc>
          <w:tcPr>
            <w:tcW w:w="1256" w:type="dxa"/>
            <w:tcBorders>
              <w:top w:val="single" w:sz="8" w:space="0" w:color="auto"/>
              <w:left w:val="nil"/>
              <w:bottom w:val="nil"/>
              <w:right w:val="nil"/>
            </w:tcBorders>
            <w:shd w:val="clear" w:color="auto" w:fill="auto"/>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④SECH</w:t>
            </w:r>
          </w:p>
        </w:tc>
        <w:tc>
          <w:tcPr>
            <w:tcW w:w="1114" w:type="dxa"/>
            <w:tcBorders>
              <w:top w:val="single" w:sz="8" w:space="0" w:color="auto"/>
              <w:left w:val="nil"/>
              <w:bottom w:val="nil"/>
              <w:right w:val="nil"/>
            </w:tcBorders>
            <w:shd w:val="clear" w:color="auto" w:fill="auto"/>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⑤TFPCH      =①×②</w:t>
            </w:r>
          </w:p>
        </w:tc>
      </w:tr>
      <w:tr w:rsidR="00051959" w:rsidRPr="00480374" w:rsidTr="000D4082">
        <w:trPr>
          <w:trHeight w:val="588"/>
          <w:jc w:val="center"/>
        </w:trPr>
        <w:tc>
          <w:tcPr>
            <w:tcW w:w="1206" w:type="dxa"/>
            <w:vMerge/>
            <w:tcBorders>
              <w:top w:val="single" w:sz="8" w:space="0" w:color="auto"/>
              <w:left w:val="nil"/>
              <w:bottom w:val="single" w:sz="8" w:space="0" w:color="000000"/>
              <w:right w:val="nil"/>
            </w:tcBorders>
            <w:shd w:val="clear" w:color="auto" w:fill="auto"/>
            <w:vAlign w:val="center"/>
            <w:hideMark/>
          </w:tcPr>
          <w:p w:rsidR="00051959" w:rsidRPr="00480374" w:rsidRDefault="00051959" w:rsidP="00480374">
            <w:pPr>
              <w:widowControl/>
              <w:jc w:val="left"/>
              <w:rPr>
                <w:rFonts w:ascii="宋体" w:hAnsi="宋体" w:cs="宋体"/>
                <w:color w:val="000000"/>
                <w:kern w:val="0"/>
                <w:sz w:val="22"/>
                <w:szCs w:val="22"/>
              </w:rPr>
            </w:pPr>
          </w:p>
        </w:tc>
        <w:tc>
          <w:tcPr>
            <w:tcW w:w="1159" w:type="dxa"/>
            <w:tcBorders>
              <w:top w:val="nil"/>
              <w:left w:val="nil"/>
              <w:bottom w:val="single" w:sz="8" w:space="0" w:color="auto"/>
              <w:right w:val="nil"/>
            </w:tcBorders>
            <w:shd w:val="clear" w:color="auto" w:fill="auto"/>
            <w:vAlign w:val="center"/>
            <w:hideMark/>
          </w:tcPr>
          <w:p w:rsidR="00051959"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技术效率</w:t>
            </w:r>
          </w:p>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变化</w:t>
            </w:r>
          </w:p>
        </w:tc>
        <w:tc>
          <w:tcPr>
            <w:tcW w:w="1037" w:type="dxa"/>
            <w:tcBorders>
              <w:top w:val="nil"/>
              <w:left w:val="nil"/>
              <w:bottom w:val="single" w:sz="8" w:space="0" w:color="auto"/>
              <w:right w:val="nil"/>
            </w:tcBorders>
            <w:shd w:val="clear" w:color="auto" w:fill="auto"/>
            <w:vAlign w:val="center"/>
            <w:hideMark/>
          </w:tcPr>
          <w:p w:rsidR="00051959"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技术</w:t>
            </w:r>
          </w:p>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变化</w:t>
            </w:r>
          </w:p>
        </w:tc>
        <w:tc>
          <w:tcPr>
            <w:tcW w:w="1032" w:type="dxa"/>
            <w:tcBorders>
              <w:top w:val="nil"/>
              <w:left w:val="nil"/>
              <w:bottom w:val="single" w:sz="8" w:space="0" w:color="auto"/>
              <w:right w:val="nil"/>
            </w:tcBorders>
            <w:shd w:val="clear" w:color="auto" w:fill="auto"/>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纯效率变化</w:t>
            </w:r>
          </w:p>
        </w:tc>
        <w:tc>
          <w:tcPr>
            <w:tcW w:w="1256" w:type="dxa"/>
            <w:tcBorders>
              <w:top w:val="nil"/>
              <w:left w:val="nil"/>
              <w:bottom w:val="single" w:sz="8" w:space="0" w:color="auto"/>
              <w:right w:val="nil"/>
            </w:tcBorders>
            <w:shd w:val="clear" w:color="auto" w:fill="auto"/>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规模效率变化</w:t>
            </w:r>
          </w:p>
        </w:tc>
        <w:tc>
          <w:tcPr>
            <w:tcW w:w="1114" w:type="dxa"/>
            <w:tcBorders>
              <w:top w:val="nil"/>
              <w:left w:val="nil"/>
              <w:bottom w:val="single" w:sz="8" w:space="0" w:color="auto"/>
              <w:right w:val="nil"/>
            </w:tcBorders>
            <w:shd w:val="clear" w:color="auto" w:fill="auto"/>
            <w:vAlign w:val="center"/>
            <w:hideMark/>
          </w:tcPr>
          <w:p w:rsidR="00051959"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全要素</w:t>
            </w:r>
          </w:p>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变化</w:t>
            </w:r>
          </w:p>
        </w:tc>
      </w:tr>
      <w:tr w:rsidR="00051959" w:rsidRPr="00480374" w:rsidTr="000D4082">
        <w:trPr>
          <w:trHeight w:val="333"/>
          <w:jc w:val="center"/>
        </w:trPr>
        <w:tc>
          <w:tcPr>
            <w:tcW w:w="1206" w:type="dxa"/>
            <w:tcBorders>
              <w:top w:val="nil"/>
              <w:left w:val="nil"/>
              <w:bottom w:val="nil"/>
              <w:right w:val="nil"/>
            </w:tcBorders>
            <w:shd w:val="clear" w:color="auto" w:fill="auto"/>
            <w:noWrap/>
            <w:vAlign w:val="center"/>
            <w:hideMark/>
          </w:tcPr>
          <w:p w:rsidR="00051959" w:rsidRPr="00480374" w:rsidRDefault="00051959" w:rsidP="00480374">
            <w:pPr>
              <w:widowControl/>
              <w:jc w:val="left"/>
              <w:rPr>
                <w:rFonts w:ascii="宋体" w:hAnsi="宋体" w:cs="宋体"/>
                <w:color w:val="000000"/>
                <w:kern w:val="0"/>
                <w:sz w:val="22"/>
                <w:szCs w:val="22"/>
              </w:rPr>
            </w:pPr>
            <w:r w:rsidRPr="00480374">
              <w:rPr>
                <w:rFonts w:ascii="宋体" w:hAnsi="宋体" w:cs="宋体" w:hint="eastAsia"/>
                <w:color w:val="000000"/>
                <w:kern w:val="0"/>
                <w:sz w:val="22"/>
                <w:szCs w:val="22"/>
              </w:rPr>
              <w:t>2008-2009</w:t>
            </w:r>
          </w:p>
        </w:tc>
        <w:tc>
          <w:tcPr>
            <w:tcW w:w="1159" w:type="dxa"/>
            <w:tcBorders>
              <w:top w:val="nil"/>
              <w:left w:val="nil"/>
              <w:bottom w:val="nil"/>
              <w:right w:val="nil"/>
            </w:tcBorders>
            <w:shd w:val="clear" w:color="auto" w:fill="auto"/>
            <w:noWrap/>
            <w:vAlign w:val="center"/>
            <w:hideMark/>
          </w:tcPr>
          <w:p w:rsidR="00051959" w:rsidRPr="00480374" w:rsidRDefault="00051959" w:rsidP="00480374">
            <w:pPr>
              <w:widowControl/>
              <w:jc w:val="center"/>
              <w:rPr>
                <w:rFonts w:ascii="宋体" w:hAnsi="宋体" w:cs="宋体"/>
                <w:color w:val="000000"/>
                <w:kern w:val="0"/>
                <w:sz w:val="22"/>
                <w:szCs w:val="22"/>
              </w:rPr>
            </w:pPr>
            <w:r>
              <w:rPr>
                <w:rFonts w:ascii="宋体" w:hAnsi="宋体" w:cs="宋体"/>
                <w:noProof/>
                <w:color w:val="000000"/>
                <w:kern w:val="0"/>
                <w:sz w:val="22"/>
              </w:rPr>
              <w:drawing>
                <wp:anchor distT="12192" distB="113411" distL="163068" distR="161925" simplePos="0" relativeHeight="251661312" behindDoc="0" locked="0" layoutInCell="1" allowOverlap="1">
                  <wp:simplePos x="0" y="0"/>
                  <wp:positionH relativeFrom="column">
                    <wp:posOffset>624332</wp:posOffset>
                  </wp:positionH>
                  <wp:positionV relativeFrom="paragraph">
                    <wp:posOffset>187198</wp:posOffset>
                  </wp:positionV>
                  <wp:extent cx="718058" cy="320548"/>
                  <wp:effectExtent l="0" t="0" r="0" b="0"/>
                  <wp:wrapNone/>
                  <wp:docPr id="5" name="椭圆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0726400" y="1310640"/>
                            <a:ext cx="566280" cy="175260"/>
                            <a:chOff x="20726400" y="1310640"/>
                            <a:chExt cx="566280" cy="175260"/>
                          </a:xfrm>
                        </a:grpSpPr>
                        <a:sp>
                          <a:nvSpPr>
                            <a:cNvPr id="2" name="椭圆 1"/>
                            <a:cNvSpPr/>
                          </a:nvSpPr>
                          <a:spPr>
                            <a:xfrm>
                              <a:off x="20726400" y="1310640"/>
                              <a:ext cx="566280" cy="175260"/>
                            </a:xfrm>
                            <a:prstGeom prst="ellipse">
                              <a:avLst/>
                            </a:prstGeom>
                            <a:noFill/>
                            <a:ln>
                              <a:solidFill>
                                <a:srgbClr val="FF0000"/>
                              </a:solidFill>
                            </a:ln>
                            <a:effectLst>
                              <a:outerShdw blurRad="50800" dist="50800" dir="5400000" algn="ctr" rotWithShape="0">
                                <a:srgbClr val="000000">
                                  <a:alpha val="0"/>
                                </a:srgbClr>
                              </a:outerShdw>
                            </a:effectLst>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r>
              <w:rPr>
                <w:rFonts w:ascii="宋体" w:hAnsi="宋体" w:cs="宋体" w:hint="eastAsia"/>
                <w:color w:val="000000"/>
                <w:kern w:val="0"/>
                <w:sz w:val="22"/>
                <w:szCs w:val="22"/>
              </w:rPr>
              <w:t>1.23</w:t>
            </w:r>
          </w:p>
        </w:tc>
        <w:tc>
          <w:tcPr>
            <w:tcW w:w="1037" w:type="dxa"/>
            <w:tcBorders>
              <w:top w:val="nil"/>
              <w:left w:val="nil"/>
              <w:bottom w:val="nil"/>
              <w:right w:val="nil"/>
            </w:tcBorders>
            <w:shd w:val="clear" w:color="auto" w:fill="auto"/>
            <w:noWrap/>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 xml:space="preserve">0.38 </w:t>
            </w:r>
          </w:p>
        </w:tc>
        <w:tc>
          <w:tcPr>
            <w:tcW w:w="1032" w:type="dxa"/>
            <w:tcBorders>
              <w:top w:val="nil"/>
              <w:left w:val="nil"/>
              <w:bottom w:val="nil"/>
              <w:right w:val="nil"/>
            </w:tcBorders>
            <w:shd w:val="clear" w:color="auto" w:fill="auto"/>
            <w:noWrap/>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 xml:space="preserve">1.00 </w:t>
            </w:r>
          </w:p>
        </w:tc>
        <w:tc>
          <w:tcPr>
            <w:tcW w:w="1256" w:type="dxa"/>
            <w:tcBorders>
              <w:top w:val="nil"/>
              <w:left w:val="nil"/>
              <w:bottom w:val="nil"/>
              <w:right w:val="nil"/>
            </w:tcBorders>
            <w:shd w:val="clear" w:color="auto" w:fill="auto"/>
            <w:noWrap/>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 xml:space="preserve">1.23 </w:t>
            </w:r>
          </w:p>
        </w:tc>
        <w:tc>
          <w:tcPr>
            <w:tcW w:w="1114" w:type="dxa"/>
            <w:tcBorders>
              <w:top w:val="nil"/>
              <w:left w:val="nil"/>
              <w:bottom w:val="nil"/>
              <w:right w:val="nil"/>
            </w:tcBorders>
            <w:shd w:val="clear" w:color="auto" w:fill="auto"/>
            <w:noWrap/>
            <w:vAlign w:val="center"/>
            <w:hideMark/>
          </w:tcPr>
          <w:p w:rsidR="00051959" w:rsidRPr="00480374" w:rsidRDefault="00051959" w:rsidP="00480374">
            <w:pPr>
              <w:widowControl/>
              <w:jc w:val="center"/>
              <w:rPr>
                <w:rFonts w:ascii="宋体" w:hAnsi="宋体" w:cs="宋体"/>
                <w:color w:val="000000"/>
                <w:kern w:val="0"/>
                <w:sz w:val="22"/>
                <w:szCs w:val="22"/>
              </w:rPr>
            </w:pPr>
            <w:r>
              <w:rPr>
                <w:rFonts w:ascii="宋体" w:hAnsi="宋体" w:cs="宋体" w:hint="eastAsia"/>
                <w:noProof/>
                <w:color w:val="000000"/>
                <w:kern w:val="0"/>
                <w:sz w:val="22"/>
              </w:rPr>
              <w:drawing>
                <wp:anchor distT="12192" distB="108712" distL="163068" distR="162179" simplePos="0" relativeHeight="251662336" behindDoc="0" locked="0" layoutInCell="1" allowOverlap="1">
                  <wp:simplePos x="0" y="0"/>
                  <wp:positionH relativeFrom="column">
                    <wp:posOffset>-28448</wp:posOffset>
                  </wp:positionH>
                  <wp:positionV relativeFrom="paragraph">
                    <wp:posOffset>198628</wp:posOffset>
                  </wp:positionV>
                  <wp:extent cx="663702" cy="310134"/>
                  <wp:effectExtent l="0" t="0" r="0" b="0"/>
                  <wp:wrapNone/>
                  <wp:docPr id="8" name="椭圆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2791420" y="1318260"/>
                            <a:ext cx="520560" cy="167640"/>
                            <a:chOff x="22791420" y="1318260"/>
                            <a:chExt cx="520560" cy="167640"/>
                          </a:xfrm>
                        </a:grpSpPr>
                        <a:sp>
                          <a:nvSpPr>
                            <a:cNvPr id="3" name="椭圆 2"/>
                            <a:cNvSpPr/>
                          </a:nvSpPr>
                          <a:spPr>
                            <a:xfrm>
                              <a:off x="22791420" y="1318260"/>
                              <a:ext cx="520560" cy="167640"/>
                            </a:xfrm>
                            <a:prstGeom prst="ellipse">
                              <a:avLst/>
                            </a:prstGeom>
                            <a:noFill/>
                            <a:ln>
                              <a:solidFill>
                                <a:srgbClr val="FF0000"/>
                              </a:solidFill>
                            </a:ln>
                            <a:effectLst>
                              <a:outerShdw blurRad="50800" dist="50800" dir="5400000" algn="ctr" rotWithShape="0">
                                <a:srgbClr val="000000">
                                  <a:alpha val="0"/>
                                </a:srgbClr>
                              </a:outerShdw>
                            </a:effectLst>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r w:rsidRPr="00480374">
              <w:rPr>
                <w:rFonts w:ascii="宋体" w:hAnsi="宋体" w:cs="宋体" w:hint="eastAsia"/>
                <w:color w:val="000000"/>
                <w:kern w:val="0"/>
                <w:sz w:val="22"/>
                <w:szCs w:val="22"/>
              </w:rPr>
              <w:t xml:space="preserve">0.46 </w:t>
            </w:r>
          </w:p>
        </w:tc>
      </w:tr>
      <w:tr w:rsidR="00051959" w:rsidRPr="00480374" w:rsidTr="000D4082">
        <w:trPr>
          <w:trHeight w:val="276"/>
          <w:jc w:val="center"/>
        </w:trPr>
        <w:tc>
          <w:tcPr>
            <w:tcW w:w="1206" w:type="dxa"/>
            <w:tcBorders>
              <w:top w:val="nil"/>
              <w:left w:val="nil"/>
              <w:bottom w:val="nil"/>
              <w:right w:val="nil"/>
            </w:tcBorders>
            <w:shd w:val="clear" w:color="auto" w:fill="auto"/>
            <w:noWrap/>
            <w:vAlign w:val="center"/>
            <w:hideMark/>
          </w:tcPr>
          <w:p w:rsidR="00051959" w:rsidRPr="00480374" w:rsidRDefault="00051959" w:rsidP="00480374">
            <w:pPr>
              <w:widowControl/>
              <w:jc w:val="left"/>
              <w:rPr>
                <w:rFonts w:ascii="宋体" w:hAnsi="宋体" w:cs="宋体"/>
                <w:color w:val="000000"/>
                <w:kern w:val="0"/>
                <w:sz w:val="22"/>
                <w:szCs w:val="22"/>
              </w:rPr>
            </w:pPr>
            <w:r w:rsidRPr="00480374">
              <w:rPr>
                <w:rFonts w:ascii="宋体" w:hAnsi="宋体" w:cs="宋体" w:hint="eastAsia"/>
                <w:color w:val="000000"/>
                <w:kern w:val="0"/>
                <w:sz w:val="22"/>
                <w:szCs w:val="22"/>
              </w:rPr>
              <w:t>2009-2010</w:t>
            </w:r>
          </w:p>
        </w:tc>
        <w:tc>
          <w:tcPr>
            <w:tcW w:w="1159" w:type="dxa"/>
            <w:tcBorders>
              <w:top w:val="nil"/>
              <w:left w:val="nil"/>
              <w:bottom w:val="nil"/>
              <w:right w:val="nil"/>
            </w:tcBorders>
            <w:shd w:val="clear" w:color="auto" w:fill="auto"/>
            <w:noWrap/>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 xml:space="preserve">0.86 </w:t>
            </w:r>
          </w:p>
        </w:tc>
        <w:tc>
          <w:tcPr>
            <w:tcW w:w="1037" w:type="dxa"/>
            <w:tcBorders>
              <w:top w:val="nil"/>
              <w:left w:val="nil"/>
              <w:bottom w:val="nil"/>
              <w:right w:val="nil"/>
            </w:tcBorders>
            <w:shd w:val="clear" w:color="auto" w:fill="auto"/>
            <w:noWrap/>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 xml:space="preserve">3.21 </w:t>
            </w:r>
          </w:p>
        </w:tc>
        <w:tc>
          <w:tcPr>
            <w:tcW w:w="1032" w:type="dxa"/>
            <w:tcBorders>
              <w:top w:val="nil"/>
              <w:left w:val="nil"/>
              <w:bottom w:val="nil"/>
              <w:right w:val="nil"/>
            </w:tcBorders>
            <w:shd w:val="clear" w:color="auto" w:fill="auto"/>
            <w:noWrap/>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 xml:space="preserve">0.99 </w:t>
            </w:r>
          </w:p>
        </w:tc>
        <w:tc>
          <w:tcPr>
            <w:tcW w:w="1256" w:type="dxa"/>
            <w:tcBorders>
              <w:top w:val="nil"/>
              <w:left w:val="nil"/>
              <w:bottom w:val="nil"/>
              <w:right w:val="nil"/>
            </w:tcBorders>
            <w:shd w:val="clear" w:color="auto" w:fill="auto"/>
            <w:noWrap/>
            <w:vAlign w:val="center"/>
            <w:hideMark/>
          </w:tcPr>
          <w:p w:rsidR="00051959" w:rsidRPr="00480374" w:rsidRDefault="00051959" w:rsidP="000D4082">
            <w:pPr>
              <w:widowControl/>
              <w:jc w:val="center"/>
              <w:rPr>
                <w:rFonts w:ascii="宋体" w:hAnsi="宋体" w:cs="宋体"/>
                <w:color w:val="000000"/>
                <w:kern w:val="0"/>
                <w:sz w:val="22"/>
                <w:szCs w:val="22"/>
              </w:rPr>
            </w:pPr>
            <w:r>
              <w:rPr>
                <w:rFonts w:ascii="宋体" w:hAnsi="宋体" w:cs="宋体" w:hint="eastAsia"/>
                <w:color w:val="000000"/>
                <w:kern w:val="0"/>
                <w:sz w:val="22"/>
                <w:szCs w:val="22"/>
              </w:rPr>
              <w:t>0.86</w:t>
            </w:r>
          </w:p>
        </w:tc>
        <w:tc>
          <w:tcPr>
            <w:tcW w:w="1114" w:type="dxa"/>
            <w:tcBorders>
              <w:top w:val="nil"/>
              <w:left w:val="nil"/>
              <w:bottom w:val="nil"/>
              <w:right w:val="nil"/>
            </w:tcBorders>
            <w:shd w:val="clear" w:color="auto" w:fill="auto"/>
            <w:noWrap/>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 xml:space="preserve">2.76 </w:t>
            </w:r>
          </w:p>
        </w:tc>
      </w:tr>
      <w:tr w:rsidR="00051959" w:rsidRPr="00480374" w:rsidTr="000D4082">
        <w:trPr>
          <w:trHeight w:val="288"/>
          <w:jc w:val="center"/>
        </w:trPr>
        <w:tc>
          <w:tcPr>
            <w:tcW w:w="1206" w:type="dxa"/>
            <w:tcBorders>
              <w:top w:val="nil"/>
              <w:left w:val="nil"/>
              <w:bottom w:val="nil"/>
              <w:right w:val="nil"/>
            </w:tcBorders>
            <w:shd w:val="clear" w:color="auto" w:fill="auto"/>
            <w:noWrap/>
            <w:vAlign w:val="center"/>
            <w:hideMark/>
          </w:tcPr>
          <w:p w:rsidR="00051959" w:rsidRPr="00480374" w:rsidRDefault="00051959" w:rsidP="00480374">
            <w:pPr>
              <w:widowControl/>
              <w:jc w:val="left"/>
              <w:rPr>
                <w:rFonts w:ascii="宋体" w:hAnsi="宋体" w:cs="宋体"/>
                <w:color w:val="000000"/>
                <w:kern w:val="0"/>
                <w:sz w:val="22"/>
                <w:szCs w:val="22"/>
              </w:rPr>
            </w:pPr>
            <w:r w:rsidRPr="00480374">
              <w:rPr>
                <w:rFonts w:ascii="宋体" w:hAnsi="宋体" w:cs="宋体" w:hint="eastAsia"/>
                <w:color w:val="000000"/>
                <w:kern w:val="0"/>
                <w:sz w:val="22"/>
                <w:szCs w:val="22"/>
              </w:rPr>
              <w:t>2010-2011</w:t>
            </w:r>
          </w:p>
        </w:tc>
        <w:tc>
          <w:tcPr>
            <w:tcW w:w="1159" w:type="dxa"/>
            <w:tcBorders>
              <w:top w:val="nil"/>
              <w:left w:val="nil"/>
              <w:bottom w:val="nil"/>
              <w:right w:val="nil"/>
            </w:tcBorders>
            <w:shd w:val="clear" w:color="auto" w:fill="auto"/>
            <w:noWrap/>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 xml:space="preserve">1.00 </w:t>
            </w:r>
          </w:p>
        </w:tc>
        <w:tc>
          <w:tcPr>
            <w:tcW w:w="1037" w:type="dxa"/>
            <w:tcBorders>
              <w:top w:val="nil"/>
              <w:left w:val="nil"/>
              <w:bottom w:val="nil"/>
              <w:right w:val="nil"/>
            </w:tcBorders>
            <w:shd w:val="clear" w:color="auto" w:fill="auto"/>
            <w:noWrap/>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 xml:space="preserve">1.14 </w:t>
            </w:r>
          </w:p>
        </w:tc>
        <w:tc>
          <w:tcPr>
            <w:tcW w:w="1032" w:type="dxa"/>
            <w:tcBorders>
              <w:top w:val="nil"/>
              <w:left w:val="nil"/>
              <w:bottom w:val="nil"/>
              <w:right w:val="nil"/>
            </w:tcBorders>
            <w:shd w:val="clear" w:color="auto" w:fill="auto"/>
            <w:noWrap/>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 xml:space="preserve">1.00 </w:t>
            </w:r>
          </w:p>
        </w:tc>
        <w:tc>
          <w:tcPr>
            <w:tcW w:w="1256" w:type="dxa"/>
            <w:tcBorders>
              <w:top w:val="nil"/>
              <w:left w:val="nil"/>
              <w:bottom w:val="nil"/>
              <w:right w:val="nil"/>
            </w:tcBorders>
            <w:shd w:val="clear" w:color="auto" w:fill="auto"/>
            <w:noWrap/>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 xml:space="preserve">1.00 </w:t>
            </w:r>
          </w:p>
        </w:tc>
        <w:tc>
          <w:tcPr>
            <w:tcW w:w="1114" w:type="dxa"/>
            <w:tcBorders>
              <w:top w:val="nil"/>
              <w:left w:val="nil"/>
              <w:bottom w:val="nil"/>
              <w:right w:val="nil"/>
            </w:tcBorders>
            <w:shd w:val="clear" w:color="auto" w:fill="auto"/>
            <w:noWrap/>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 xml:space="preserve">1.14 </w:t>
            </w:r>
          </w:p>
        </w:tc>
      </w:tr>
      <w:tr w:rsidR="00051959" w:rsidRPr="00480374" w:rsidTr="000D4082">
        <w:trPr>
          <w:trHeight w:val="288"/>
          <w:jc w:val="center"/>
        </w:trPr>
        <w:tc>
          <w:tcPr>
            <w:tcW w:w="1206" w:type="dxa"/>
            <w:tcBorders>
              <w:top w:val="nil"/>
              <w:left w:val="nil"/>
              <w:bottom w:val="nil"/>
              <w:right w:val="nil"/>
            </w:tcBorders>
            <w:shd w:val="clear" w:color="auto" w:fill="auto"/>
            <w:noWrap/>
            <w:vAlign w:val="center"/>
            <w:hideMark/>
          </w:tcPr>
          <w:p w:rsidR="00051959" w:rsidRPr="00480374" w:rsidRDefault="00051959" w:rsidP="00480374">
            <w:pPr>
              <w:widowControl/>
              <w:jc w:val="left"/>
              <w:rPr>
                <w:rFonts w:ascii="宋体" w:hAnsi="宋体" w:cs="宋体"/>
                <w:color w:val="000000"/>
                <w:kern w:val="0"/>
                <w:sz w:val="22"/>
                <w:szCs w:val="22"/>
              </w:rPr>
            </w:pPr>
            <w:r w:rsidRPr="00480374">
              <w:rPr>
                <w:rFonts w:ascii="宋体" w:hAnsi="宋体" w:cs="宋体" w:hint="eastAsia"/>
                <w:color w:val="000000"/>
                <w:kern w:val="0"/>
                <w:sz w:val="22"/>
                <w:szCs w:val="22"/>
              </w:rPr>
              <w:t>2011-2012</w:t>
            </w:r>
          </w:p>
        </w:tc>
        <w:tc>
          <w:tcPr>
            <w:tcW w:w="1159" w:type="dxa"/>
            <w:tcBorders>
              <w:top w:val="nil"/>
              <w:left w:val="nil"/>
              <w:bottom w:val="nil"/>
              <w:right w:val="nil"/>
            </w:tcBorders>
            <w:shd w:val="clear" w:color="auto" w:fill="auto"/>
            <w:noWrap/>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 xml:space="preserve">1.01 </w:t>
            </w:r>
          </w:p>
        </w:tc>
        <w:tc>
          <w:tcPr>
            <w:tcW w:w="1037" w:type="dxa"/>
            <w:tcBorders>
              <w:top w:val="nil"/>
              <w:left w:val="nil"/>
              <w:bottom w:val="nil"/>
              <w:right w:val="nil"/>
            </w:tcBorders>
            <w:shd w:val="clear" w:color="auto" w:fill="auto"/>
            <w:noWrap/>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 xml:space="preserve">1.06 </w:t>
            </w:r>
          </w:p>
        </w:tc>
        <w:tc>
          <w:tcPr>
            <w:tcW w:w="1032" w:type="dxa"/>
            <w:tcBorders>
              <w:top w:val="nil"/>
              <w:left w:val="nil"/>
              <w:bottom w:val="nil"/>
              <w:right w:val="nil"/>
            </w:tcBorders>
            <w:shd w:val="clear" w:color="auto" w:fill="auto"/>
            <w:noWrap/>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 xml:space="preserve">1.00 </w:t>
            </w:r>
          </w:p>
        </w:tc>
        <w:tc>
          <w:tcPr>
            <w:tcW w:w="1256" w:type="dxa"/>
            <w:tcBorders>
              <w:top w:val="nil"/>
              <w:left w:val="nil"/>
              <w:bottom w:val="nil"/>
              <w:right w:val="nil"/>
            </w:tcBorders>
            <w:shd w:val="clear" w:color="auto" w:fill="auto"/>
            <w:noWrap/>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 xml:space="preserve">1.01 </w:t>
            </w:r>
          </w:p>
        </w:tc>
        <w:tc>
          <w:tcPr>
            <w:tcW w:w="1114" w:type="dxa"/>
            <w:tcBorders>
              <w:top w:val="nil"/>
              <w:left w:val="nil"/>
              <w:bottom w:val="nil"/>
              <w:right w:val="nil"/>
            </w:tcBorders>
            <w:shd w:val="clear" w:color="auto" w:fill="auto"/>
            <w:noWrap/>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 xml:space="preserve">1.06 </w:t>
            </w:r>
          </w:p>
        </w:tc>
      </w:tr>
      <w:tr w:rsidR="00051959" w:rsidRPr="00480374" w:rsidTr="000D4082">
        <w:trPr>
          <w:trHeight w:val="288"/>
          <w:jc w:val="center"/>
        </w:trPr>
        <w:tc>
          <w:tcPr>
            <w:tcW w:w="1206" w:type="dxa"/>
            <w:tcBorders>
              <w:top w:val="nil"/>
              <w:left w:val="nil"/>
              <w:bottom w:val="nil"/>
              <w:right w:val="nil"/>
            </w:tcBorders>
            <w:shd w:val="clear" w:color="auto" w:fill="auto"/>
            <w:noWrap/>
            <w:vAlign w:val="center"/>
            <w:hideMark/>
          </w:tcPr>
          <w:p w:rsidR="00051959" w:rsidRPr="00480374" w:rsidRDefault="00051959" w:rsidP="00480374">
            <w:pPr>
              <w:widowControl/>
              <w:jc w:val="left"/>
              <w:rPr>
                <w:rFonts w:ascii="宋体" w:hAnsi="宋体" w:cs="宋体"/>
                <w:color w:val="000000"/>
                <w:kern w:val="0"/>
                <w:sz w:val="22"/>
                <w:szCs w:val="22"/>
              </w:rPr>
            </w:pPr>
            <w:r w:rsidRPr="00480374">
              <w:rPr>
                <w:rFonts w:ascii="宋体" w:hAnsi="宋体" w:cs="宋体" w:hint="eastAsia"/>
                <w:color w:val="000000"/>
                <w:kern w:val="0"/>
                <w:sz w:val="22"/>
                <w:szCs w:val="22"/>
              </w:rPr>
              <w:t>2012-2013</w:t>
            </w:r>
          </w:p>
        </w:tc>
        <w:tc>
          <w:tcPr>
            <w:tcW w:w="1159" w:type="dxa"/>
            <w:tcBorders>
              <w:top w:val="nil"/>
              <w:left w:val="nil"/>
              <w:bottom w:val="nil"/>
              <w:right w:val="nil"/>
            </w:tcBorders>
            <w:shd w:val="clear" w:color="auto" w:fill="auto"/>
            <w:noWrap/>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 xml:space="preserve">1.00 </w:t>
            </w:r>
          </w:p>
        </w:tc>
        <w:tc>
          <w:tcPr>
            <w:tcW w:w="1037" w:type="dxa"/>
            <w:tcBorders>
              <w:top w:val="nil"/>
              <w:left w:val="nil"/>
              <w:bottom w:val="nil"/>
              <w:right w:val="nil"/>
            </w:tcBorders>
            <w:shd w:val="clear" w:color="auto" w:fill="auto"/>
            <w:noWrap/>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 xml:space="preserve">1.05 </w:t>
            </w:r>
          </w:p>
        </w:tc>
        <w:tc>
          <w:tcPr>
            <w:tcW w:w="1032" w:type="dxa"/>
            <w:tcBorders>
              <w:top w:val="nil"/>
              <w:left w:val="nil"/>
              <w:bottom w:val="nil"/>
              <w:right w:val="nil"/>
            </w:tcBorders>
            <w:shd w:val="clear" w:color="auto" w:fill="auto"/>
            <w:noWrap/>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 xml:space="preserve">1.00 </w:t>
            </w:r>
          </w:p>
        </w:tc>
        <w:tc>
          <w:tcPr>
            <w:tcW w:w="1256" w:type="dxa"/>
            <w:tcBorders>
              <w:top w:val="nil"/>
              <w:left w:val="nil"/>
              <w:bottom w:val="nil"/>
              <w:right w:val="nil"/>
            </w:tcBorders>
            <w:shd w:val="clear" w:color="auto" w:fill="auto"/>
            <w:noWrap/>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 xml:space="preserve">1.00 </w:t>
            </w:r>
          </w:p>
        </w:tc>
        <w:tc>
          <w:tcPr>
            <w:tcW w:w="1114" w:type="dxa"/>
            <w:tcBorders>
              <w:top w:val="nil"/>
              <w:left w:val="nil"/>
              <w:bottom w:val="nil"/>
              <w:right w:val="nil"/>
            </w:tcBorders>
            <w:shd w:val="clear" w:color="auto" w:fill="auto"/>
            <w:noWrap/>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 xml:space="preserve">1.05 </w:t>
            </w:r>
          </w:p>
        </w:tc>
      </w:tr>
      <w:tr w:rsidR="00051959" w:rsidRPr="00480374" w:rsidTr="000D4082">
        <w:trPr>
          <w:trHeight w:val="288"/>
          <w:jc w:val="center"/>
        </w:trPr>
        <w:tc>
          <w:tcPr>
            <w:tcW w:w="1206" w:type="dxa"/>
            <w:tcBorders>
              <w:top w:val="nil"/>
              <w:left w:val="nil"/>
              <w:bottom w:val="nil"/>
              <w:right w:val="nil"/>
            </w:tcBorders>
            <w:shd w:val="clear" w:color="auto" w:fill="auto"/>
            <w:noWrap/>
            <w:vAlign w:val="center"/>
            <w:hideMark/>
          </w:tcPr>
          <w:p w:rsidR="00051959" w:rsidRPr="00480374" w:rsidRDefault="00051959" w:rsidP="00480374">
            <w:pPr>
              <w:widowControl/>
              <w:jc w:val="left"/>
              <w:rPr>
                <w:rFonts w:ascii="宋体" w:hAnsi="宋体" w:cs="宋体"/>
                <w:color w:val="000000"/>
                <w:kern w:val="0"/>
                <w:sz w:val="22"/>
                <w:szCs w:val="22"/>
              </w:rPr>
            </w:pPr>
            <w:r w:rsidRPr="00480374">
              <w:rPr>
                <w:rFonts w:ascii="宋体" w:hAnsi="宋体" w:cs="宋体" w:hint="eastAsia"/>
                <w:color w:val="000000"/>
                <w:kern w:val="0"/>
                <w:sz w:val="22"/>
                <w:szCs w:val="22"/>
              </w:rPr>
              <w:t>2013-2014</w:t>
            </w:r>
          </w:p>
        </w:tc>
        <w:tc>
          <w:tcPr>
            <w:tcW w:w="1159" w:type="dxa"/>
            <w:tcBorders>
              <w:top w:val="nil"/>
              <w:left w:val="nil"/>
              <w:bottom w:val="nil"/>
              <w:right w:val="nil"/>
            </w:tcBorders>
            <w:shd w:val="clear" w:color="auto" w:fill="auto"/>
            <w:noWrap/>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 xml:space="preserve">0.97 </w:t>
            </w:r>
          </w:p>
        </w:tc>
        <w:tc>
          <w:tcPr>
            <w:tcW w:w="1037" w:type="dxa"/>
            <w:tcBorders>
              <w:top w:val="nil"/>
              <w:left w:val="nil"/>
              <w:bottom w:val="nil"/>
              <w:right w:val="nil"/>
            </w:tcBorders>
            <w:shd w:val="clear" w:color="auto" w:fill="auto"/>
            <w:noWrap/>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 xml:space="preserve">1.05 </w:t>
            </w:r>
          </w:p>
        </w:tc>
        <w:tc>
          <w:tcPr>
            <w:tcW w:w="1032" w:type="dxa"/>
            <w:tcBorders>
              <w:top w:val="nil"/>
              <w:left w:val="nil"/>
              <w:bottom w:val="nil"/>
              <w:right w:val="nil"/>
            </w:tcBorders>
            <w:shd w:val="clear" w:color="auto" w:fill="auto"/>
            <w:noWrap/>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 xml:space="preserve">0.99 </w:t>
            </w:r>
          </w:p>
        </w:tc>
        <w:tc>
          <w:tcPr>
            <w:tcW w:w="1256" w:type="dxa"/>
            <w:tcBorders>
              <w:top w:val="nil"/>
              <w:left w:val="nil"/>
              <w:bottom w:val="nil"/>
              <w:right w:val="nil"/>
            </w:tcBorders>
            <w:shd w:val="clear" w:color="auto" w:fill="auto"/>
            <w:noWrap/>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 xml:space="preserve">0.98 </w:t>
            </w:r>
          </w:p>
        </w:tc>
        <w:tc>
          <w:tcPr>
            <w:tcW w:w="1114" w:type="dxa"/>
            <w:tcBorders>
              <w:top w:val="nil"/>
              <w:left w:val="nil"/>
              <w:bottom w:val="nil"/>
              <w:right w:val="nil"/>
            </w:tcBorders>
            <w:shd w:val="clear" w:color="auto" w:fill="auto"/>
            <w:noWrap/>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 xml:space="preserve">1.02 </w:t>
            </w:r>
          </w:p>
        </w:tc>
      </w:tr>
      <w:tr w:rsidR="00051959" w:rsidRPr="00480374" w:rsidTr="000D4082">
        <w:trPr>
          <w:trHeight w:val="300"/>
          <w:jc w:val="center"/>
        </w:trPr>
        <w:tc>
          <w:tcPr>
            <w:tcW w:w="1206" w:type="dxa"/>
            <w:tcBorders>
              <w:top w:val="nil"/>
              <w:left w:val="nil"/>
              <w:bottom w:val="nil"/>
              <w:right w:val="nil"/>
            </w:tcBorders>
            <w:shd w:val="clear" w:color="auto" w:fill="auto"/>
            <w:noWrap/>
            <w:vAlign w:val="center"/>
            <w:hideMark/>
          </w:tcPr>
          <w:p w:rsidR="00051959" w:rsidRPr="00480374" w:rsidRDefault="00051959" w:rsidP="00480374">
            <w:pPr>
              <w:widowControl/>
              <w:jc w:val="left"/>
              <w:rPr>
                <w:rFonts w:ascii="宋体" w:hAnsi="宋体" w:cs="宋体"/>
                <w:color w:val="000000"/>
                <w:kern w:val="0"/>
                <w:sz w:val="22"/>
                <w:szCs w:val="22"/>
              </w:rPr>
            </w:pPr>
            <w:r w:rsidRPr="00480374">
              <w:rPr>
                <w:rFonts w:ascii="宋体" w:hAnsi="宋体" w:cs="宋体" w:hint="eastAsia"/>
                <w:color w:val="000000"/>
                <w:kern w:val="0"/>
                <w:sz w:val="22"/>
                <w:szCs w:val="22"/>
              </w:rPr>
              <w:t>2014-2015</w:t>
            </w:r>
          </w:p>
        </w:tc>
        <w:tc>
          <w:tcPr>
            <w:tcW w:w="1159" w:type="dxa"/>
            <w:tcBorders>
              <w:top w:val="nil"/>
              <w:left w:val="nil"/>
              <w:bottom w:val="nil"/>
              <w:right w:val="nil"/>
            </w:tcBorders>
            <w:shd w:val="clear" w:color="auto" w:fill="auto"/>
            <w:noWrap/>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 xml:space="preserve">0.95 </w:t>
            </w:r>
          </w:p>
        </w:tc>
        <w:tc>
          <w:tcPr>
            <w:tcW w:w="1037" w:type="dxa"/>
            <w:tcBorders>
              <w:top w:val="nil"/>
              <w:left w:val="nil"/>
              <w:bottom w:val="nil"/>
              <w:right w:val="nil"/>
            </w:tcBorders>
            <w:shd w:val="clear" w:color="auto" w:fill="auto"/>
            <w:noWrap/>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 xml:space="preserve">1.05 </w:t>
            </w:r>
          </w:p>
        </w:tc>
        <w:tc>
          <w:tcPr>
            <w:tcW w:w="1032" w:type="dxa"/>
            <w:tcBorders>
              <w:top w:val="nil"/>
              <w:left w:val="nil"/>
              <w:bottom w:val="nil"/>
              <w:right w:val="nil"/>
            </w:tcBorders>
            <w:shd w:val="clear" w:color="auto" w:fill="auto"/>
            <w:noWrap/>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 xml:space="preserve">1.01 </w:t>
            </w:r>
          </w:p>
        </w:tc>
        <w:tc>
          <w:tcPr>
            <w:tcW w:w="1256" w:type="dxa"/>
            <w:tcBorders>
              <w:top w:val="nil"/>
              <w:left w:val="nil"/>
              <w:bottom w:val="nil"/>
              <w:right w:val="nil"/>
            </w:tcBorders>
            <w:shd w:val="clear" w:color="auto" w:fill="auto"/>
            <w:noWrap/>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 xml:space="preserve">0.95 </w:t>
            </w:r>
          </w:p>
        </w:tc>
        <w:tc>
          <w:tcPr>
            <w:tcW w:w="1114" w:type="dxa"/>
            <w:tcBorders>
              <w:top w:val="nil"/>
              <w:left w:val="nil"/>
              <w:bottom w:val="nil"/>
              <w:right w:val="nil"/>
            </w:tcBorders>
            <w:shd w:val="clear" w:color="auto" w:fill="auto"/>
            <w:noWrap/>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 xml:space="preserve">1.00 </w:t>
            </w:r>
          </w:p>
        </w:tc>
      </w:tr>
      <w:tr w:rsidR="00051959" w:rsidRPr="00480374" w:rsidTr="000D4082">
        <w:trPr>
          <w:trHeight w:val="300"/>
          <w:jc w:val="center"/>
        </w:trPr>
        <w:tc>
          <w:tcPr>
            <w:tcW w:w="1206" w:type="dxa"/>
            <w:tcBorders>
              <w:top w:val="nil"/>
              <w:left w:val="nil"/>
              <w:bottom w:val="single" w:sz="4" w:space="0" w:color="auto"/>
              <w:right w:val="nil"/>
            </w:tcBorders>
            <w:shd w:val="clear" w:color="auto" w:fill="auto"/>
            <w:noWrap/>
            <w:vAlign w:val="center"/>
            <w:hideMark/>
          </w:tcPr>
          <w:p w:rsidR="00051959" w:rsidRPr="00480374" w:rsidRDefault="00051959" w:rsidP="00480374">
            <w:pPr>
              <w:widowControl/>
              <w:jc w:val="left"/>
              <w:rPr>
                <w:rFonts w:ascii="宋体" w:hAnsi="宋体" w:cs="宋体"/>
                <w:color w:val="000000"/>
                <w:kern w:val="0"/>
                <w:sz w:val="22"/>
                <w:szCs w:val="22"/>
              </w:rPr>
            </w:pPr>
            <w:r w:rsidRPr="00480374">
              <w:rPr>
                <w:rFonts w:ascii="宋体" w:hAnsi="宋体" w:cs="宋体" w:hint="eastAsia"/>
                <w:color w:val="000000"/>
                <w:kern w:val="0"/>
                <w:sz w:val="22"/>
                <w:szCs w:val="22"/>
              </w:rPr>
              <w:t>2015-2016</w:t>
            </w:r>
          </w:p>
        </w:tc>
        <w:tc>
          <w:tcPr>
            <w:tcW w:w="1159" w:type="dxa"/>
            <w:tcBorders>
              <w:top w:val="nil"/>
              <w:left w:val="nil"/>
              <w:bottom w:val="single" w:sz="4" w:space="0" w:color="auto"/>
              <w:right w:val="nil"/>
            </w:tcBorders>
            <w:shd w:val="clear" w:color="auto" w:fill="auto"/>
            <w:noWrap/>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 xml:space="preserve">1.38 </w:t>
            </w:r>
          </w:p>
        </w:tc>
        <w:tc>
          <w:tcPr>
            <w:tcW w:w="1037" w:type="dxa"/>
            <w:tcBorders>
              <w:top w:val="nil"/>
              <w:left w:val="nil"/>
              <w:bottom w:val="single" w:sz="4" w:space="0" w:color="auto"/>
              <w:right w:val="nil"/>
            </w:tcBorders>
            <w:shd w:val="clear" w:color="auto" w:fill="auto"/>
            <w:noWrap/>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 xml:space="preserve">0.22 </w:t>
            </w:r>
          </w:p>
        </w:tc>
        <w:tc>
          <w:tcPr>
            <w:tcW w:w="1032" w:type="dxa"/>
            <w:tcBorders>
              <w:top w:val="nil"/>
              <w:left w:val="nil"/>
              <w:bottom w:val="single" w:sz="4" w:space="0" w:color="auto"/>
              <w:right w:val="nil"/>
            </w:tcBorders>
            <w:shd w:val="clear" w:color="auto" w:fill="auto"/>
            <w:noWrap/>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 xml:space="preserve">1.00 </w:t>
            </w:r>
          </w:p>
        </w:tc>
        <w:tc>
          <w:tcPr>
            <w:tcW w:w="1256" w:type="dxa"/>
            <w:tcBorders>
              <w:top w:val="nil"/>
              <w:left w:val="nil"/>
              <w:bottom w:val="single" w:sz="4" w:space="0" w:color="auto"/>
              <w:right w:val="nil"/>
            </w:tcBorders>
            <w:shd w:val="clear" w:color="auto" w:fill="auto"/>
            <w:noWrap/>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 xml:space="preserve">1.38 </w:t>
            </w:r>
          </w:p>
        </w:tc>
        <w:tc>
          <w:tcPr>
            <w:tcW w:w="1114" w:type="dxa"/>
            <w:tcBorders>
              <w:top w:val="nil"/>
              <w:left w:val="nil"/>
              <w:bottom w:val="single" w:sz="4" w:space="0" w:color="auto"/>
              <w:right w:val="nil"/>
            </w:tcBorders>
            <w:shd w:val="clear" w:color="auto" w:fill="auto"/>
            <w:noWrap/>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 xml:space="preserve">0.31 </w:t>
            </w:r>
          </w:p>
        </w:tc>
      </w:tr>
      <w:tr w:rsidR="00051959" w:rsidRPr="00480374" w:rsidTr="000D4082">
        <w:trPr>
          <w:trHeight w:val="300"/>
          <w:jc w:val="center"/>
        </w:trPr>
        <w:tc>
          <w:tcPr>
            <w:tcW w:w="1206" w:type="dxa"/>
            <w:tcBorders>
              <w:top w:val="single" w:sz="4" w:space="0" w:color="auto"/>
              <w:left w:val="nil"/>
              <w:bottom w:val="nil"/>
              <w:right w:val="nil"/>
            </w:tcBorders>
            <w:shd w:val="clear" w:color="auto" w:fill="auto"/>
            <w:noWrap/>
            <w:vAlign w:val="center"/>
            <w:hideMark/>
          </w:tcPr>
          <w:p w:rsidR="00051959" w:rsidRPr="00480374" w:rsidRDefault="00051959" w:rsidP="00480374">
            <w:pPr>
              <w:widowControl/>
              <w:jc w:val="left"/>
              <w:rPr>
                <w:rFonts w:ascii="宋体" w:hAnsi="宋体" w:cs="宋体"/>
                <w:color w:val="000000"/>
                <w:kern w:val="0"/>
                <w:sz w:val="22"/>
                <w:szCs w:val="22"/>
              </w:rPr>
            </w:pPr>
            <w:r w:rsidRPr="00480374">
              <w:rPr>
                <w:rFonts w:ascii="宋体" w:hAnsi="宋体" w:cs="宋体" w:hint="eastAsia"/>
                <w:color w:val="000000"/>
                <w:kern w:val="0"/>
                <w:sz w:val="22"/>
                <w:szCs w:val="22"/>
              </w:rPr>
              <w:t>2008-2012</w:t>
            </w:r>
          </w:p>
        </w:tc>
        <w:tc>
          <w:tcPr>
            <w:tcW w:w="1159" w:type="dxa"/>
            <w:tcBorders>
              <w:top w:val="single" w:sz="4" w:space="0" w:color="auto"/>
              <w:left w:val="nil"/>
              <w:bottom w:val="nil"/>
              <w:right w:val="nil"/>
            </w:tcBorders>
            <w:shd w:val="clear" w:color="auto" w:fill="auto"/>
            <w:noWrap/>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 xml:space="preserve">1.02 </w:t>
            </w:r>
          </w:p>
        </w:tc>
        <w:tc>
          <w:tcPr>
            <w:tcW w:w="1037" w:type="dxa"/>
            <w:tcBorders>
              <w:top w:val="single" w:sz="4" w:space="0" w:color="auto"/>
              <w:left w:val="nil"/>
              <w:bottom w:val="nil"/>
              <w:right w:val="nil"/>
            </w:tcBorders>
            <w:shd w:val="clear" w:color="auto" w:fill="auto"/>
            <w:noWrap/>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 xml:space="preserve">1.45 </w:t>
            </w:r>
          </w:p>
        </w:tc>
        <w:tc>
          <w:tcPr>
            <w:tcW w:w="1032" w:type="dxa"/>
            <w:tcBorders>
              <w:top w:val="single" w:sz="4" w:space="0" w:color="auto"/>
              <w:left w:val="nil"/>
              <w:bottom w:val="nil"/>
              <w:right w:val="nil"/>
            </w:tcBorders>
            <w:shd w:val="clear" w:color="auto" w:fill="auto"/>
            <w:noWrap/>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 xml:space="preserve">1.00 </w:t>
            </w:r>
          </w:p>
        </w:tc>
        <w:tc>
          <w:tcPr>
            <w:tcW w:w="1256" w:type="dxa"/>
            <w:tcBorders>
              <w:top w:val="single" w:sz="4" w:space="0" w:color="auto"/>
              <w:left w:val="nil"/>
              <w:bottom w:val="nil"/>
              <w:right w:val="nil"/>
            </w:tcBorders>
            <w:shd w:val="clear" w:color="auto" w:fill="auto"/>
            <w:noWrap/>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 xml:space="preserve">1.03 </w:t>
            </w:r>
          </w:p>
        </w:tc>
        <w:tc>
          <w:tcPr>
            <w:tcW w:w="1114" w:type="dxa"/>
            <w:tcBorders>
              <w:top w:val="single" w:sz="4" w:space="0" w:color="auto"/>
              <w:left w:val="nil"/>
              <w:bottom w:val="nil"/>
              <w:right w:val="nil"/>
            </w:tcBorders>
            <w:shd w:val="clear" w:color="auto" w:fill="auto"/>
            <w:noWrap/>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 xml:space="preserve">1.36 </w:t>
            </w:r>
          </w:p>
        </w:tc>
      </w:tr>
      <w:tr w:rsidR="00051959" w:rsidRPr="00480374" w:rsidTr="000D4082">
        <w:trPr>
          <w:trHeight w:val="300"/>
          <w:jc w:val="center"/>
        </w:trPr>
        <w:tc>
          <w:tcPr>
            <w:tcW w:w="1206" w:type="dxa"/>
            <w:tcBorders>
              <w:top w:val="nil"/>
              <w:left w:val="nil"/>
              <w:bottom w:val="single" w:sz="8" w:space="0" w:color="auto"/>
              <w:right w:val="nil"/>
            </w:tcBorders>
            <w:shd w:val="clear" w:color="auto" w:fill="auto"/>
            <w:noWrap/>
            <w:vAlign w:val="center"/>
            <w:hideMark/>
          </w:tcPr>
          <w:p w:rsidR="00051959" w:rsidRPr="00480374" w:rsidRDefault="00051959" w:rsidP="00480374">
            <w:pPr>
              <w:widowControl/>
              <w:jc w:val="left"/>
              <w:rPr>
                <w:rFonts w:ascii="宋体" w:hAnsi="宋体" w:cs="宋体"/>
                <w:color w:val="000000"/>
                <w:kern w:val="0"/>
                <w:sz w:val="22"/>
                <w:szCs w:val="22"/>
              </w:rPr>
            </w:pPr>
            <w:r w:rsidRPr="00480374">
              <w:rPr>
                <w:rFonts w:ascii="宋体" w:hAnsi="宋体" w:cs="宋体" w:hint="eastAsia"/>
                <w:color w:val="000000"/>
                <w:kern w:val="0"/>
                <w:sz w:val="22"/>
                <w:szCs w:val="22"/>
              </w:rPr>
              <w:t>2013-2016</w:t>
            </w:r>
          </w:p>
        </w:tc>
        <w:tc>
          <w:tcPr>
            <w:tcW w:w="1159" w:type="dxa"/>
            <w:tcBorders>
              <w:top w:val="nil"/>
              <w:left w:val="nil"/>
              <w:bottom w:val="single" w:sz="8" w:space="0" w:color="auto"/>
              <w:right w:val="nil"/>
            </w:tcBorders>
            <w:shd w:val="clear" w:color="auto" w:fill="auto"/>
            <w:noWrap/>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 xml:space="preserve">1.08 </w:t>
            </w:r>
          </w:p>
        </w:tc>
        <w:tc>
          <w:tcPr>
            <w:tcW w:w="1037" w:type="dxa"/>
            <w:tcBorders>
              <w:top w:val="nil"/>
              <w:left w:val="nil"/>
              <w:bottom w:val="single" w:sz="8" w:space="0" w:color="auto"/>
              <w:right w:val="nil"/>
            </w:tcBorders>
            <w:shd w:val="clear" w:color="auto" w:fill="auto"/>
            <w:noWrap/>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 xml:space="preserve">0.84 </w:t>
            </w:r>
          </w:p>
        </w:tc>
        <w:tc>
          <w:tcPr>
            <w:tcW w:w="1032" w:type="dxa"/>
            <w:tcBorders>
              <w:top w:val="nil"/>
              <w:left w:val="nil"/>
              <w:bottom w:val="single" w:sz="8" w:space="0" w:color="auto"/>
              <w:right w:val="nil"/>
            </w:tcBorders>
            <w:shd w:val="clear" w:color="auto" w:fill="auto"/>
            <w:noWrap/>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 xml:space="preserve">1.00 </w:t>
            </w:r>
          </w:p>
        </w:tc>
        <w:tc>
          <w:tcPr>
            <w:tcW w:w="1256" w:type="dxa"/>
            <w:tcBorders>
              <w:top w:val="nil"/>
              <w:left w:val="nil"/>
              <w:bottom w:val="single" w:sz="8" w:space="0" w:color="auto"/>
              <w:right w:val="nil"/>
            </w:tcBorders>
            <w:shd w:val="clear" w:color="auto" w:fill="auto"/>
            <w:noWrap/>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 xml:space="preserve">1.08 </w:t>
            </w:r>
          </w:p>
        </w:tc>
        <w:tc>
          <w:tcPr>
            <w:tcW w:w="1114" w:type="dxa"/>
            <w:tcBorders>
              <w:top w:val="nil"/>
              <w:left w:val="nil"/>
              <w:bottom w:val="single" w:sz="8" w:space="0" w:color="auto"/>
              <w:right w:val="nil"/>
            </w:tcBorders>
            <w:shd w:val="clear" w:color="auto" w:fill="auto"/>
            <w:noWrap/>
            <w:vAlign w:val="center"/>
            <w:hideMark/>
          </w:tcPr>
          <w:p w:rsidR="00051959" w:rsidRPr="00480374" w:rsidRDefault="00051959" w:rsidP="00480374">
            <w:pPr>
              <w:widowControl/>
              <w:jc w:val="center"/>
              <w:rPr>
                <w:rFonts w:ascii="宋体" w:hAnsi="宋体" w:cs="宋体"/>
                <w:color w:val="000000"/>
                <w:kern w:val="0"/>
                <w:sz w:val="22"/>
                <w:szCs w:val="22"/>
              </w:rPr>
            </w:pPr>
            <w:r w:rsidRPr="00480374">
              <w:rPr>
                <w:rFonts w:ascii="宋体" w:hAnsi="宋体" w:cs="宋体" w:hint="eastAsia"/>
                <w:color w:val="000000"/>
                <w:kern w:val="0"/>
                <w:sz w:val="22"/>
                <w:szCs w:val="22"/>
              </w:rPr>
              <w:t xml:space="preserve">0.85 </w:t>
            </w:r>
          </w:p>
        </w:tc>
      </w:tr>
    </w:tbl>
    <w:p w:rsidR="00051959" w:rsidRDefault="00051959"/>
    <w:p w:rsidR="00051959" w:rsidRDefault="00051959"/>
    <w:p w:rsidR="00051959" w:rsidRPr="00D964C5" w:rsidRDefault="00051959" w:rsidP="00244AFC">
      <w:pPr>
        <w:widowControl/>
        <w:adjustRightInd w:val="0"/>
        <w:spacing w:before="100" w:beforeAutospacing="1" w:after="100" w:afterAutospacing="1" w:line="400" w:lineRule="exact"/>
        <w:jc w:val="center"/>
        <w:outlineLvl w:val="0"/>
        <w:rPr>
          <w:rFonts w:ascii="黑体" w:eastAsia="黑体" w:hAnsi="黑体" w:cs="宋体"/>
          <w:b/>
          <w:kern w:val="0"/>
          <w:sz w:val="24"/>
        </w:rPr>
      </w:pPr>
      <w:r w:rsidRPr="00D964C5">
        <w:rPr>
          <w:rFonts w:ascii="黑体" w:eastAsia="黑体" w:hAnsi="黑体" w:cs="宋体" w:hint="eastAsia"/>
          <w:b/>
          <w:kern w:val="0"/>
          <w:sz w:val="24"/>
        </w:rPr>
        <w:lastRenderedPageBreak/>
        <w:t>五、投资效率的影响因素分析</w:t>
      </w:r>
    </w:p>
    <w:p w:rsidR="00051959" w:rsidRPr="00A425C1" w:rsidRDefault="00051959" w:rsidP="00244AFC">
      <w:pPr>
        <w:ind w:firstLine="420"/>
        <w:rPr>
          <w:rFonts w:ascii="宋体" w:hAnsi="宋体"/>
          <w:szCs w:val="21"/>
        </w:rPr>
      </w:pPr>
      <w:r w:rsidRPr="00A425C1">
        <w:rPr>
          <w:rFonts w:ascii="宋体" w:hAnsi="宋体" w:hint="eastAsia"/>
          <w:szCs w:val="21"/>
        </w:rPr>
        <w:t>上文我们得到了中国对上海合作组织国家的投资效率，为了分析影响效率的因素及影响程度，在DEA分析的基础上衍生出了两阶段方法。第一阶段即上文的DEA分析，第二阶段以第一阶段的技术效率为因变量，以影响因素为自变量建立回归模型。因为DEA方法得出的技术效率得分在0至1之间，所以回归模型属于受限因变量模型（limited dependent variable）。对于受限因变量模型，如果直接采用最小二乘法，会导致参数估计的有偏性和不一致性。对此可通过构造潜变量的方式解决这一问题。标准的</w:t>
      </w:r>
      <w:proofErr w:type="spellStart"/>
      <w:r w:rsidRPr="00A425C1">
        <w:rPr>
          <w:rFonts w:ascii="宋体" w:hAnsi="宋体" w:hint="eastAsia"/>
          <w:szCs w:val="21"/>
        </w:rPr>
        <w:t>Tobit</w:t>
      </w:r>
      <w:proofErr w:type="spellEnd"/>
      <w:r w:rsidRPr="00A425C1">
        <w:rPr>
          <w:rFonts w:ascii="宋体" w:hAnsi="宋体" w:hint="eastAsia"/>
          <w:szCs w:val="21"/>
        </w:rPr>
        <w:t>模型如下：</w:t>
      </w:r>
    </w:p>
    <w:p w:rsidR="00051959" w:rsidRPr="00A425C1" w:rsidRDefault="00051959" w:rsidP="00244AFC">
      <w:pPr>
        <w:ind w:firstLine="420"/>
        <w:rPr>
          <w:rFonts w:ascii="宋体" w:hAnsi="宋体"/>
          <w:szCs w:val="21"/>
        </w:rPr>
      </w:pPr>
      <m:oMathPara>
        <m:oMath>
          <m:sSubSup>
            <m:sSubSupPr>
              <m:ctrlPr>
                <w:rPr>
                  <w:rFonts w:ascii="Cambria Math" w:hAnsi="Cambria Math"/>
                  <w:sz w:val="24"/>
                </w:rPr>
              </m:ctrlPr>
            </m:sSubSupPr>
            <m:e>
              <m:r>
                <m:rPr>
                  <m:sty m:val="p"/>
                </m:rPr>
                <w:rPr>
                  <w:rFonts w:ascii="Cambria Math" w:hAnsi="Cambria Math"/>
                  <w:sz w:val="24"/>
                </w:rPr>
                <m:t>Y</m:t>
              </m:r>
            </m:e>
            <m:sub>
              <m:r>
                <m:rPr>
                  <m:sty m:val="p"/>
                </m:rPr>
                <w:rPr>
                  <w:rFonts w:ascii="Cambria Math" w:hAnsi="Cambria Math"/>
                  <w:sz w:val="24"/>
                </w:rPr>
                <m:t>i</m:t>
              </m:r>
            </m:sub>
            <m:sup>
              <m:r>
                <m:rPr>
                  <m:sty m:val="p"/>
                </m:rPr>
                <w:rPr>
                  <w:rFonts w:ascii="Cambria Math" w:hAnsi="Cambria Math"/>
                  <w:sz w:val="24"/>
                </w:rPr>
                <m:t>*</m:t>
              </m:r>
            </m:sup>
          </m:sSubSup>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X</m:t>
              </m:r>
            </m:e>
            <m:sub>
              <m:r>
                <m:rPr>
                  <m:sty m:val="p"/>
                </m:rPr>
                <w:rPr>
                  <w:rFonts w:ascii="Cambria Math" w:hAnsi="Cambria Math"/>
                  <w:sz w:val="24"/>
                </w:rPr>
                <m:t>i</m:t>
              </m:r>
            </m:sub>
          </m:sSub>
          <m:r>
            <m:rPr>
              <m:sty m:val="p"/>
            </m:rPr>
            <w:rPr>
              <w:rFonts w:ascii="Cambria Math" w:hAnsi="Cambria Math"/>
              <w:sz w:val="24"/>
            </w:rPr>
            <m:t>β+</m:t>
          </m:r>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i</m:t>
              </m:r>
            </m:sub>
          </m:sSub>
        </m:oMath>
      </m:oMathPara>
    </w:p>
    <w:p w:rsidR="00051959" w:rsidRPr="00A425C1" w:rsidRDefault="00051959" w:rsidP="00244AFC">
      <w:pPr>
        <w:ind w:firstLine="420"/>
        <w:rPr>
          <w:rFonts w:ascii="宋体" w:hAnsi="宋体"/>
          <w:szCs w:val="21"/>
        </w:rPr>
      </w:pPr>
      <m:oMathPara>
        <m:oMath>
          <m:d>
            <m:dPr>
              <m:begChr m:val="{"/>
              <m:endChr m:val=""/>
              <m:ctrlPr>
                <w:rPr>
                  <w:rFonts w:ascii="Cambria Math" w:hAnsi="Cambria Math"/>
                  <w:sz w:val="24"/>
                </w:rPr>
              </m:ctrlPr>
            </m:dPr>
            <m:e>
              <m:eqArr>
                <m:eqArrPr>
                  <m:ctrlPr>
                    <w:rPr>
                      <w:rFonts w:ascii="Cambria Math" w:hAnsi="Cambria Math"/>
                      <w:sz w:val="24"/>
                    </w:rPr>
                  </m:ctrlPr>
                </m:eqArrPr>
                <m:e>
                  <m:sSubSup>
                    <m:sSubSupPr>
                      <m:ctrlPr>
                        <w:rPr>
                          <w:rFonts w:ascii="Cambria Math" w:hAnsi="Cambria Math"/>
                          <w:sz w:val="24"/>
                        </w:rPr>
                      </m:ctrlPr>
                    </m:sSubSupPr>
                    <m:e>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i</m:t>
                          </m:r>
                        </m:sub>
                      </m:sSub>
                      <m:r>
                        <m:rPr>
                          <m:sty m:val="p"/>
                        </m:rPr>
                        <w:rPr>
                          <w:rFonts w:ascii="Cambria Math" w:hAnsi="Cambria Math"/>
                          <w:sz w:val="24"/>
                        </w:rPr>
                        <m:t>=Y</m:t>
                      </m:r>
                    </m:e>
                    <m:sub>
                      <m:r>
                        <m:rPr>
                          <m:sty m:val="p"/>
                        </m:rPr>
                        <w:rPr>
                          <w:rFonts w:ascii="Cambria Math" w:hAnsi="Cambria Math"/>
                          <w:sz w:val="24"/>
                        </w:rPr>
                        <m:t>i</m:t>
                      </m:r>
                    </m:sub>
                    <m:sup>
                      <m:r>
                        <m:rPr>
                          <m:sty m:val="p"/>
                        </m:rPr>
                        <w:rPr>
                          <w:rFonts w:ascii="Cambria Math" w:hAnsi="Cambria Math"/>
                          <w:sz w:val="24"/>
                        </w:rPr>
                        <m:t>*</m:t>
                      </m:r>
                    </m:sup>
                  </m:sSubSup>
                  <m:r>
                    <m:rPr>
                      <m:sty m:val="p"/>
                    </m:rPr>
                    <w:rPr>
                      <w:rFonts w:ascii="Cambria Math" w:hAnsi="Cambria Math"/>
                      <w:sz w:val="24"/>
                    </w:rPr>
                    <m:t xml:space="preserve">     if </m:t>
                  </m:r>
                  <m:r>
                    <w:rPr>
                      <w:rFonts w:ascii="Cambria Math" w:hAnsi="Cambria Math"/>
                      <w:sz w:val="24"/>
                    </w:rPr>
                    <m:t>&amp;</m:t>
                  </m:r>
                  <m:sSubSup>
                    <m:sSubSupPr>
                      <m:ctrlPr>
                        <w:rPr>
                          <w:rFonts w:ascii="Cambria Math" w:hAnsi="Cambria Math"/>
                          <w:sz w:val="24"/>
                        </w:rPr>
                      </m:ctrlPr>
                    </m:sSubSupPr>
                    <m:e>
                      <m:r>
                        <m:rPr>
                          <m:sty m:val="p"/>
                        </m:rPr>
                        <w:rPr>
                          <w:rFonts w:ascii="Cambria Math" w:hAnsi="Cambria Math"/>
                          <w:sz w:val="24"/>
                        </w:rPr>
                        <m:t xml:space="preserve">   Y</m:t>
                      </m:r>
                    </m:e>
                    <m:sub>
                      <m:r>
                        <m:rPr>
                          <m:sty m:val="p"/>
                        </m:rPr>
                        <w:rPr>
                          <w:rFonts w:ascii="Cambria Math" w:hAnsi="Cambria Math"/>
                          <w:sz w:val="24"/>
                        </w:rPr>
                        <m:t>i</m:t>
                      </m:r>
                    </m:sub>
                    <m:sup>
                      <m:r>
                        <m:rPr>
                          <m:sty m:val="p"/>
                        </m:rPr>
                        <w:rPr>
                          <w:rFonts w:ascii="Cambria Math" w:hAnsi="Cambria Math"/>
                          <w:sz w:val="24"/>
                        </w:rPr>
                        <m:t>*</m:t>
                      </m:r>
                    </m:sup>
                  </m:sSubSup>
                  <m:r>
                    <m:rPr>
                      <m:sty m:val="p"/>
                    </m:rPr>
                    <w:rPr>
                      <w:rFonts w:ascii="Cambria Math" w:hAnsi="Cambria Math"/>
                      <w:sz w:val="24"/>
                    </w:rPr>
                    <m:t>&gt;</m:t>
                  </m:r>
                  <m:r>
                    <w:rPr>
                      <w:rFonts w:ascii="Cambria Math" w:hAnsi="Cambria Math"/>
                      <w:sz w:val="24"/>
                    </w:rPr>
                    <m:t>0</m:t>
                  </m:r>
                </m:e>
                <m:e>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i</m:t>
                      </m:r>
                    </m:sub>
                  </m:sSub>
                  <m:r>
                    <m:rPr>
                      <m:sty m:val="p"/>
                    </m:rPr>
                    <w:rPr>
                      <w:rFonts w:ascii="Cambria Math" w:hAnsi="Cambria Math"/>
                      <w:sz w:val="24"/>
                    </w:rPr>
                    <m:t xml:space="preserve">=0       if  </m:t>
                  </m:r>
                  <m:sSubSup>
                    <m:sSubSupPr>
                      <m:ctrlPr>
                        <w:rPr>
                          <w:rFonts w:ascii="Cambria Math" w:hAnsi="Cambria Math"/>
                          <w:sz w:val="24"/>
                        </w:rPr>
                      </m:ctrlPr>
                    </m:sSubSupPr>
                    <m:e>
                      <m:r>
                        <m:rPr>
                          <m:sty m:val="p"/>
                        </m:rPr>
                        <w:rPr>
                          <w:rFonts w:ascii="Cambria Math" w:hAnsi="Cambria Math"/>
                          <w:sz w:val="24"/>
                        </w:rPr>
                        <m:t xml:space="preserve">   Y</m:t>
                      </m:r>
                    </m:e>
                    <m:sub>
                      <m:r>
                        <m:rPr>
                          <m:sty m:val="p"/>
                        </m:rPr>
                        <w:rPr>
                          <w:rFonts w:ascii="Cambria Math" w:hAnsi="Cambria Math"/>
                          <w:sz w:val="24"/>
                        </w:rPr>
                        <m:t>i</m:t>
                      </m:r>
                    </m:sub>
                    <m:sup>
                      <m:r>
                        <m:rPr>
                          <m:sty m:val="p"/>
                        </m:rPr>
                        <w:rPr>
                          <w:rFonts w:ascii="Cambria Math" w:hAnsi="Cambria Math"/>
                          <w:sz w:val="24"/>
                        </w:rPr>
                        <m:t>*</m:t>
                      </m:r>
                    </m:sup>
                  </m:sSubSup>
                  <m:r>
                    <m:rPr>
                      <m:sty m:val="p"/>
                    </m:rPr>
                    <w:rPr>
                      <w:rFonts w:ascii="Cambria Math" w:hAnsi="Cambria Math"/>
                      <w:sz w:val="24"/>
                    </w:rPr>
                    <m:t>≤0</m:t>
                  </m:r>
                </m:e>
              </m:eqArr>
            </m:e>
          </m:d>
        </m:oMath>
      </m:oMathPara>
    </w:p>
    <w:p w:rsidR="00051959" w:rsidRPr="00A425C1" w:rsidRDefault="00051959" w:rsidP="00244AFC">
      <w:pPr>
        <w:ind w:firstLine="420"/>
        <w:rPr>
          <w:rFonts w:ascii="宋体" w:hAnsi="宋体"/>
          <w:szCs w:val="21"/>
        </w:rPr>
      </w:pPr>
      <w:r w:rsidRPr="00A425C1">
        <w:rPr>
          <w:rFonts w:ascii="宋体" w:hAnsi="宋体" w:hint="eastAsia"/>
          <w:szCs w:val="21"/>
        </w:rPr>
        <w:t>上式中，</w:t>
      </w:r>
      <m:oMath>
        <m:r>
          <m:rPr>
            <m:sty m:val="p"/>
          </m:rPr>
          <w:rPr>
            <w:rFonts w:ascii="Cambria Math" w:hAnsi="Cambria Math"/>
            <w:sz w:val="24"/>
          </w:rPr>
          <m:t xml:space="preserve"> </m:t>
        </m:r>
        <m:sSub>
          <m:sSubPr>
            <m:ctrlPr>
              <w:rPr>
                <w:rFonts w:ascii="Cambria Math" w:hAnsi="Cambria Math"/>
                <w:sz w:val="24"/>
              </w:rPr>
            </m:ctrlPr>
          </m:sSubPr>
          <m:e>
            <m:r>
              <m:rPr>
                <m:sty m:val="p"/>
              </m:rPr>
              <w:rPr>
                <w:rFonts w:ascii="Cambria Math" w:hAnsi="Cambria Math"/>
                <w:sz w:val="24"/>
              </w:rPr>
              <m:t>Y</m:t>
            </m:r>
          </m:e>
          <m:sub>
            <m:r>
              <m:rPr>
                <m:sty m:val="p"/>
              </m:rPr>
              <w:rPr>
                <w:rFonts w:ascii="Cambria Math" w:hAnsi="Cambria Math"/>
                <w:sz w:val="24"/>
              </w:rPr>
              <m:t>i</m:t>
            </m:r>
          </m:sub>
        </m:sSub>
      </m:oMath>
      <w:r w:rsidRPr="00A425C1">
        <w:rPr>
          <w:rFonts w:ascii="宋体" w:hAnsi="宋体" w:hint="eastAsia"/>
          <w:szCs w:val="21"/>
        </w:rPr>
        <w:t>为观察到的因变量，</w:t>
      </w:r>
      <m:oMath>
        <m:sSub>
          <m:sSubPr>
            <m:ctrlPr>
              <w:rPr>
                <w:rFonts w:ascii="Cambria Math" w:hAnsi="Cambria Math"/>
                <w:sz w:val="24"/>
              </w:rPr>
            </m:ctrlPr>
          </m:sSubPr>
          <m:e>
            <m:r>
              <m:rPr>
                <m:sty m:val="p"/>
              </m:rPr>
              <w:rPr>
                <w:rFonts w:ascii="Cambria Math" w:hAnsi="Cambria Math"/>
                <w:sz w:val="24"/>
              </w:rPr>
              <m:t>X</m:t>
            </m:r>
          </m:e>
          <m:sub>
            <m:r>
              <m:rPr>
                <m:sty m:val="p"/>
              </m:rPr>
              <w:rPr>
                <w:rFonts w:ascii="Cambria Math" w:hAnsi="Cambria Math"/>
                <w:sz w:val="24"/>
              </w:rPr>
              <m:t>i</m:t>
            </m:r>
          </m:sub>
        </m:sSub>
      </m:oMath>
      <w:r w:rsidRPr="00A425C1">
        <w:rPr>
          <w:rFonts w:ascii="宋体" w:hAnsi="宋体" w:hint="eastAsia"/>
          <w:szCs w:val="21"/>
        </w:rPr>
        <w:t>为自变量向量，</w:t>
      </w:r>
      <w:r w:rsidRPr="00A425C1">
        <w:rPr>
          <w:rFonts w:ascii="宋体" w:hAnsi="宋体" w:hint="eastAsia"/>
          <w:position w:val="-6"/>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5.7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30&quot;/&gt;&lt;w:displayBackgroundShape/&gt;&lt;w:doNotEmbedSystemFonts/&gt;&lt;w:bordersDontSurroundHeader/&gt;&lt;w:bordersDontSurroundFooter/&gt;&lt;w:defaultTabStop w:val=&quot;420&quot;/&gt;&lt;w:drawingGridHorizontalSpacing w:val=&quot;105&quot;/&gt;&lt;w:drawingGridVerticalSpacing w:val=&quot;156&quot;/&gt;&lt;w:displayHorizontalDrawingGridEvery w:val=&quot;0&quot;/&gt;&lt;w:displayVerticalDrawingGridEvery w:val=&quot;2&quot;/&gt;&lt;w:punctuationKerning/&gt;&lt;w:characterSpacingControl w:val=&quot;CompressPunctuation&quot;/&gt;&lt;w:optimizeForBrowser/&gt;&lt;w:relyOnVML/&gt;&lt;w:allowPNG/&gt;&lt;w:validateAgainstSchema/&gt;&lt;w:saveInvalidXML w:val=&quot;off&quot;/&gt;&lt;w:ignoreMixedContent w:val=&quot;off&quot;/&gt;&lt;w:alwaysShowPlaceholderText w:val=&quot;off&quot;/&gt;&lt;w:footnotePr&gt;&lt;w:numFmt w:val=&quot;decimal-enclosed-circle-chinese&quot;/&gt;&lt;w:numRestart w:val=&quot;each-page&quot;/&gt;&lt;/w:footnotePr&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5857EA&quot;/&gt;&lt;wsp:rsid wsp:val=&quot;00000AFD&quot;/&gt;&lt;wsp:rsid wsp:val=&quot;00006F55&quot;/&gt;&lt;wsp:rsid wsp:val=&quot;0002141C&quot;/&gt;&lt;wsp:rsid wsp:val=&quot;00047464&quot;/&gt;&lt;wsp:rsid wsp:val=&quot;00077A89&quot;/&gt;&lt;wsp:rsid wsp:val=&quot;0008245A&quot;/&gt;&lt;wsp:rsid wsp:val=&quot;00092455&quot;/&gt;&lt;wsp:rsid wsp:val=&quot;000969C1&quot;/&gt;&lt;wsp:rsid wsp:val=&quot;000B79B2&quot;/&gt;&lt;wsp:rsid wsp:val=&quot;000C6975&quot;/&gt;&lt;wsp:rsid wsp:val=&quot;000C6E7D&quot;/&gt;&lt;wsp:rsid wsp:val=&quot;000D4082&quot;/&gt;&lt;wsp:rsid wsp:val=&quot;00102704&quot;/&gt;&lt;wsp:rsid wsp:val=&quot;00107CFD&quot;/&gt;&lt;wsp:rsid wsp:val=&quot;001266B0&quot;/&gt;&lt;wsp:rsid wsp:val=&quot;001350AE&quot;/&gt;&lt;wsp:rsid wsp:val=&quot;0014239B&quot;/&gt;&lt;wsp:rsid wsp:val=&quot;0016650D&quot;/&gt;&lt;wsp:rsid wsp:val=&quot;00181397&quot;/&gt;&lt;wsp:rsid wsp:val=&quot;001B54F0&quot;/&gt;&lt;wsp:rsid wsp:val=&quot;001D2030&quot;/&gt;&lt;wsp:rsid wsp:val=&quot;001E04B6&quot;/&gt;&lt;wsp:rsid wsp:val=&quot;001E54C4&quot;/&gt;&lt;wsp:rsid wsp:val=&quot;001E7298&quot;/&gt;&lt;wsp:rsid wsp:val=&quot;002003D1&quot;/&gt;&lt;wsp:rsid wsp:val=&quot;0020051E&quot;/&gt;&lt;wsp:rsid wsp:val=&quot;00201BF0&quot;/&gt;&lt;wsp:rsid wsp:val=&quot;00202FED&quot;/&gt;&lt;wsp:rsid wsp:val=&quot;0020534A&quot;/&gt;&lt;wsp:rsid wsp:val=&quot;00211826&quot;/&gt;&lt;wsp:rsid wsp:val=&quot;00223414&quot;/&gt;&lt;wsp:rsid wsp:val=&quot;002421F7&quot;/&gt;&lt;wsp:rsid wsp:val=&quot;00244AFC&quot;/&gt;&lt;wsp:rsid wsp:val=&quot;00252E40&quot;/&gt;&lt;wsp:rsid wsp:val=&quot;00255310&quot;/&gt;&lt;wsp:rsid wsp:val=&quot;00273012&quot;/&gt;&lt;wsp:rsid wsp:val=&quot;00273A09&quot;/&gt;&lt;wsp:rsid wsp:val=&quot;00274958&quot;/&gt;&lt;wsp:rsid wsp:val=&quot;002874A4&quot;/&gt;&lt;wsp:rsid wsp:val=&quot;002A2FF6&quot;/&gt;&lt;wsp:rsid wsp:val=&quot;002B4CC3&quot;/&gt;&lt;wsp:rsid wsp:val=&quot;002C443D&quot;/&gt;&lt;wsp:rsid wsp:val=&quot;002D67D0&quot;/&gt;&lt;wsp:rsid wsp:val=&quot;002D6BE3&quot;/&gt;&lt;wsp:rsid wsp:val=&quot;002F4F45&quot;/&gt;&lt;wsp:rsid wsp:val=&quot;002F5AFC&quot;/&gt;&lt;wsp:rsid wsp:val=&quot;002F75CF&quot;/&gt;&lt;wsp:rsid wsp:val=&quot;00314C81&quot;/&gt;&lt;wsp:rsid wsp:val=&quot;00326439&quot;/&gt;&lt;wsp:rsid wsp:val=&quot;0033662F&quot;/&gt;&lt;wsp:rsid wsp:val=&quot;00345A6D&quot;/&gt;&lt;wsp:rsid wsp:val=&quot;00355557&quot;/&gt;&lt;wsp:rsid wsp:val=&quot;00363DAE&quot;/&gt;&lt;wsp:rsid wsp:val=&quot;003A39C5&quot;/&gt;&lt;wsp:rsid wsp:val=&quot;003E2FBF&quot;/&gt;&lt;wsp:rsid wsp:val=&quot;003F5F02&quot;/&gt;&lt;wsp:rsid wsp:val=&quot;00407A90&quot;/&gt;&lt;wsp:rsid wsp:val=&quot;00411960&quot;/&gt;&lt;wsp:rsid wsp:val=&quot;004166F0&quot;/&gt;&lt;wsp:rsid wsp:val=&quot;00417F8C&quot;/&gt;&lt;wsp:rsid wsp:val=&quot;004253E2&quot;/&gt;&lt;wsp:rsid wsp:val=&quot;004410C8&quot;/&gt;&lt;wsp:rsid wsp:val=&quot;00443F69&quot;/&gt;&lt;wsp:rsid wsp:val=&quot;00446F2A&quot;/&gt;&lt;wsp:rsid wsp:val=&quot;004541DD&quot;/&gt;&lt;wsp:rsid wsp:val=&quot;00462966&quot;/&gt;&lt;wsp:rsid wsp:val=&quot;004640BE&quot;/&gt;&lt;wsp:rsid wsp:val=&quot;0047580B&quot;/&gt;&lt;wsp:rsid wsp:val=&quot;00480374&quot;/&gt;&lt;wsp:rsid wsp:val=&quot;0048369F&quot;/&gt;&lt;wsp:rsid wsp:val=&quot;00484BEF&quot;/&gt;&lt;wsp:rsid wsp:val=&quot;00490273&quot;/&gt;&lt;wsp:rsid wsp:val=&quot;004B18B5&quot;/&gt;&lt;wsp:rsid wsp:val=&quot;004B21A6&quot;/&gt;&lt;wsp:rsid wsp:val=&quot;004C3A46&quot;/&gt;&lt;wsp:rsid wsp:val=&quot;004F6131&quot;/&gt;&lt;wsp:rsid wsp:val=&quot;00512250&quot;/&gt;&lt;wsp:rsid wsp:val=&quot;00525C7A&quot;/&gt;&lt;wsp:rsid wsp:val=&quot;00527E2B&quot;/&gt;&lt;wsp:rsid wsp:val=&quot;005506D0&quot;/&gt;&lt;wsp:rsid wsp:val=&quot;00554997&quot;/&gt;&lt;wsp:rsid wsp:val=&quot;0056474F&quot;/&gt;&lt;wsp:rsid wsp:val=&quot;00567616&quot;/&gt;&lt;wsp:rsid wsp:val=&quot;005721B0&quot;/&gt;&lt;wsp:rsid wsp:val=&quot;005846F3&quot;/&gt;&lt;wsp:rsid wsp:val=&quot;005853E0&quot;/&gt;&lt;wsp:rsid wsp:val=&quot;005857EA&quot;/&gt;&lt;wsp:rsid wsp:val=&quot;0059285D&quot;/&gt;&lt;wsp:rsid wsp:val=&quot;005B18D7&quot;/&gt;&lt;wsp:rsid wsp:val=&quot;005C1FC0&quot;/&gt;&lt;wsp:rsid wsp:val=&quot;005C3202&quot;/&gt;&lt;wsp:rsid wsp:val=&quot;005C5229&quot;/&gt;&lt;wsp:rsid wsp:val=&quot;005E5419&quot;/&gt;&lt;wsp:rsid wsp:val=&quot;005F5B6D&quot;/&gt;&lt;wsp:rsid wsp:val=&quot;0060243E&quot;/&gt;&lt;wsp:rsid wsp:val=&quot;00613C24&quot;/&gt;&lt;wsp:rsid wsp:val=&quot;00634E01&quot;/&gt;&lt;wsp:rsid wsp:val=&quot;00640CAB&quot;/&gt;&lt;wsp:rsid wsp:val=&quot;00644CBD&quot;/&gt;&lt;wsp:rsid wsp:val=&quot;00645953&quot;/&gt;&lt;wsp:rsid wsp:val=&quot;00651F25&quot;/&gt;&lt;wsp:rsid wsp:val=&quot;006521A1&quot;/&gt;&lt;wsp:rsid wsp:val=&quot;00690E44&quot;/&gt;&lt;wsp:rsid wsp:val=&quot;00695036&quot;/&gt;&lt;wsp:rsid wsp:val=&quot;0069786F&quot;/&gt;&lt;wsp:rsid wsp:val=&quot;006A6CAA&quot;/&gt;&lt;wsp:rsid wsp:val=&quot;00731DD2&quot;/&gt;&lt;wsp:rsid wsp:val=&quot;007332D3&quot;/&gt;&lt;wsp:rsid wsp:val=&quot;00745D18&quot;/&gt;&lt;wsp:rsid wsp:val=&quot;00746BBB&quot;/&gt;&lt;wsp:rsid wsp:val=&quot;00746C86&quot;/&gt;&lt;wsp:rsid wsp:val=&quot;00765221&quot;/&gt;&lt;wsp:rsid wsp:val=&quot;00775106&quot;/&gt;&lt;wsp:rsid wsp:val=&quot;00776F65&quot;/&gt;&lt;wsp:rsid wsp:val=&quot;00781506&quot;/&gt;&lt;wsp:rsid wsp:val=&quot;00791409&quot;/&gt;&lt;wsp:rsid wsp:val=&quot;007A4479&quot;/&gt;&lt;wsp:rsid wsp:val=&quot;007C1AF1&quot;/&gt;&lt;wsp:rsid wsp:val=&quot;007C242E&quot;/&gt;&lt;wsp:rsid wsp:val=&quot;007C339B&quot;/&gt;&lt;wsp:rsid wsp:val=&quot;007C35C5&quot;/&gt;&lt;wsp:rsid wsp:val=&quot;007C46FA&quot;/&gt;&lt;wsp:rsid wsp:val=&quot;007E7B0C&quot;/&gt;&lt;wsp:rsid wsp:val=&quot;007F13B8&quot;/&gt;&lt;wsp:rsid wsp:val=&quot;007F5C42&quot;/&gt;&lt;wsp:rsid wsp:val=&quot;0080160A&quot;/&gt;&lt;wsp:rsid wsp:val=&quot;008359C5&quot;/&gt;&lt;wsp:rsid wsp:val=&quot;008368C8&quot;/&gt;&lt;wsp:rsid wsp:val=&quot;0088344B&quot;/&gt;&lt;wsp:rsid wsp:val=&quot;00884C8D&quot;/&gt;&lt;wsp:rsid wsp:val=&quot;00894BD8&quot;/&gt;&lt;wsp:rsid wsp:val=&quot;008B1E06&quot;/&gt;&lt;wsp:rsid wsp:val=&quot;008B357D&quot;/&gt;&lt;wsp:rsid wsp:val=&quot;008B46FB&quot;/&gt;&lt;wsp:rsid wsp:val=&quot;008C18AF&quot;/&gt;&lt;wsp:rsid wsp:val=&quot;008C7377&quot;/&gt;&lt;wsp:rsid wsp:val=&quot;008C7534&quot;/&gt;&lt;wsp:rsid wsp:val=&quot;00901B58&quot;/&gt;&lt;wsp:rsid wsp:val=&quot;009028D3&quot;/&gt;&lt;wsp:rsid wsp:val=&quot;0090732E&quot;/&gt;&lt;wsp:rsid wsp:val=&quot;00907811&quot;/&gt;&lt;wsp:rsid wsp:val=&quot;00910AF6&quot;/&gt;&lt;wsp:rsid wsp:val=&quot;009133C5&quot;/&gt;&lt;wsp:rsid wsp:val=&quot;00952865&quot;/&gt;&lt;wsp:rsid wsp:val=&quot;009549F7&quot;/&gt;&lt;wsp:rsid wsp:val=&quot;00965C86&quot;/&gt;&lt;wsp:rsid wsp:val=&quot;00975F5C&quot;/&gt;&lt;wsp:rsid wsp:val=&quot;00982C0E&quot;/&gt;&lt;wsp:rsid wsp:val=&quot;009958CB&quot;/&gt;&lt;wsp:rsid wsp:val=&quot;009A46D2&quot;/&gt;&lt;wsp:rsid wsp:val=&quot;009B2504&quot;/&gt;&lt;wsp:rsid wsp:val=&quot;009C09D8&quot;/&gt;&lt;wsp:rsid wsp:val=&quot;009C2B37&quot;/&gt;&lt;wsp:rsid wsp:val=&quot;009F312D&quot;/&gt;&lt;wsp:rsid wsp:val=&quot;00A20747&quot;/&gt;&lt;wsp:rsid wsp:val=&quot;00A21E00&quot;/&gt;&lt;wsp:rsid wsp:val=&quot;00A23449&quot;/&gt;&lt;wsp:rsid wsp:val=&quot;00A3606C&quot;/&gt;&lt;wsp:rsid wsp:val=&quot;00A45259&quot;/&gt;&lt;wsp:rsid wsp:val=&quot;00A94DCF&quot;/&gt;&lt;wsp:rsid wsp:val=&quot;00AD350A&quot;/&gt;&lt;wsp:rsid wsp:val=&quot;00AE61FF&quot;/&gt;&lt;wsp:rsid wsp:val=&quot;00AF4DC9&quot;/&gt;&lt;wsp:rsid wsp:val=&quot;00B2317C&quot;/&gt;&lt;wsp:rsid wsp:val=&quot;00B5212C&quot;/&gt;&lt;wsp:rsid wsp:val=&quot;00B75826&quot;/&gt;&lt;wsp:rsid wsp:val=&quot;00B826B5&quot;/&gt;&lt;wsp:rsid wsp:val=&quot;00B87D3B&quot;/&gt;&lt;wsp:rsid wsp:val=&quot;00B91FE1&quot;/&gt;&lt;wsp:rsid wsp:val=&quot;00B95D69&quot;/&gt;&lt;wsp:rsid wsp:val=&quot;00BA6EA2&quot;/&gt;&lt;wsp:rsid wsp:val=&quot;00BC4557&quot;/&gt;&lt;wsp:rsid wsp:val=&quot;00BD5B4A&quot;/&gt;&lt;wsp:rsid wsp:val=&quot;00BE37D6&quot;/&gt;&lt;wsp:rsid wsp:val=&quot;00BF30FC&quot;/&gt;&lt;wsp:rsid wsp:val=&quot;00C25922&quot;/&gt;&lt;wsp:rsid wsp:val=&quot;00C468E2&quot;/&gt;&lt;wsp:rsid wsp:val=&quot;00C55F04&quot;/&gt;&lt;wsp:rsid wsp:val=&quot;00C636C7&quot;/&gt;&lt;wsp:rsid wsp:val=&quot;00C65C97&quot;/&gt;&lt;wsp:rsid wsp:val=&quot;00C7432B&quot;/&gt;&lt;wsp:rsid wsp:val=&quot;00C749AC&quot;/&gt;&lt;wsp:rsid wsp:val=&quot;00C8177F&quot;/&gt;&lt;wsp:rsid wsp:val=&quot;00C925D3&quot;/&gt;&lt;wsp:rsid wsp:val=&quot;00CA3A71&quot;/&gt;&lt;wsp:rsid wsp:val=&quot;00CC1942&quot;/&gt;&lt;wsp:rsid wsp:val=&quot;00CE6B12&quot;/&gt;&lt;wsp:rsid wsp:val=&quot;00D012A6&quot;/&gt;&lt;wsp:rsid wsp:val=&quot;00D270DE&quot;/&gt;&lt;wsp:rsid wsp:val=&quot;00D40448&quot;/&gt;&lt;wsp:rsid wsp:val=&quot;00D44FEE&quot;/&gt;&lt;wsp:rsid wsp:val=&quot;00D474D5&quot;/&gt;&lt;wsp:rsid wsp:val=&quot;00D60608&quot;/&gt;&lt;wsp:rsid wsp:val=&quot;00D75AFA&quot;/&gt;&lt;wsp:rsid wsp:val=&quot;00D80DAA&quot;/&gt;&lt;wsp:rsid wsp:val=&quot;00D878CD&quot;/&gt;&lt;wsp:rsid wsp:val=&quot;00DA0343&quot;/&gt;&lt;wsp:rsid wsp:val=&quot;00DA1200&quot;/&gt;&lt;wsp:rsid wsp:val=&quot;00DB7067&quot;/&gt;&lt;wsp:rsid wsp:val=&quot;00DC213A&quot;/&gt;&lt;wsp:rsid wsp:val=&quot;00E644AD&quot;/&gt;&lt;wsp:rsid wsp:val=&quot;00E73AC3&quot;/&gt;&lt;wsp:rsid wsp:val=&quot;00E86B0A&quot;/&gt;&lt;wsp:rsid wsp:val=&quot;00EA230E&quot;/&gt;&lt;wsp:rsid wsp:val=&quot;00EA29EC&quot;/&gt;&lt;wsp:rsid wsp:val=&quot;00EA7DD5&quot;/&gt;&lt;wsp:rsid wsp:val=&quot;00EB4E95&quot;/&gt;&lt;wsp:rsid wsp:val=&quot;00ED1DF7&quot;/&gt;&lt;wsp:rsid wsp:val=&quot;00ED303A&quot;/&gt;&lt;wsp:rsid wsp:val=&quot;00EF0CC6&quot;/&gt;&lt;wsp:rsid wsp:val=&quot;00EF148F&quot;/&gt;&lt;wsp:rsid wsp:val=&quot;00EF7BAD&quot;/&gt;&lt;wsp:rsid wsp:val=&quot;00F0587D&quot;/&gt;&lt;wsp:rsid wsp:val=&quot;00F1045B&quot;/&gt;&lt;wsp:rsid wsp:val=&quot;00F16B8D&quot;/&gt;&lt;wsp:rsid wsp:val=&quot;00F37084&quot;/&gt;&lt;wsp:rsid wsp:val=&quot;00F372C1&quot;/&gt;&lt;wsp:rsid wsp:val=&quot;00F4009F&quot;/&gt;&lt;wsp:rsid wsp:val=&quot;00F41790&quot;/&gt;&lt;wsp:rsid wsp:val=&quot;00F47848&quot;/&gt;&lt;wsp:rsid wsp:val=&quot;00F530BC&quot;/&gt;&lt;wsp:rsid wsp:val=&quot;00F5432B&quot;/&gt;&lt;wsp:rsid wsp:val=&quot;00F63D5A&quot;/&gt;&lt;wsp:rsid wsp:val=&quot;00F74237&quot;/&gt;&lt;wsp:rsid wsp:val=&quot;00F80781&quot;/&gt;&lt;wsp:rsid wsp:val=&quot;00F843FD&quot;/&gt;&lt;wsp:rsid wsp:val=&quot;00FA30A9&quot;/&gt;&lt;wsp:rsid wsp:val=&quot;00FB53A4&quot;/&gt;&lt;wsp:rsid wsp:val=&quot;00FB7AC5&quot;/&gt;&lt;wsp:rsid wsp:val=&quot;00FC71A2&quot;/&gt;&lt;wsp:rsid wsp:val=&quot;00FD2102&quot;/&gt;&lt;wsp:rsid wsp:val=&quot;00FD53F8&quot;/&gt;&lt;/wsp:rsids&gt;&lt;/w:docPr&gt;&lt;w:body&gt;&lt;w:p wsp:rsidR=&quot;00000000&quot; wsp:rsidRDefault=&quot;005506D0&quot;&gt;&lt;m:oMathPara&gt;&lt;m:oMath&gt;&lt;m:r&gt;&lt;m:rPr&gt;&lt;m:sty m:val=&quot;p&quot;/&gt;&lt;/m:rPr&gt;&lt;w:rPr&gt;&lt;w:rFonts w:ascii=&quot;Cambria Math&quot; w:h-ansi=&quot;Cambria Math&quot;/&gt;&lt;wx:font wx:val=&quot;Cambria Math&quot;/&gt;&lt;w:sz w:val=&quot;24&quot;/&gt;&lt;/w:rPr&gt;&lt;m:t&gt;尾&lt;/m:t&gt;&lt;/m:r&gt;&lt;/m:oMath&gt;&lt;/m:oMathPara&gt;&lt;/w:p&gt;&lt;w:sectPr wsp:rsidR=&quot;00000000&quot;&gt;&lt;w:pgSz w:w=&quot;12240&quot; &lt;w:h=&quot;15840&quot;/&gt;&lt;w:pgMar w:top=&quot;1440&quot; w:right=&quot;1800&quot; w:bottom=&quot;1440&quot; w:left=&quot;1800&quot; w:header=&quot;720&quot; w:footer=&quot;720&quot; w:gutter=&quot;0&quot;/&gt;&lt;w:cols w:space=&quot;720&quot;/&gt;&lt;/w:sectPr&gt;&lt;/w:body&gt;&lt;/w:wordDocument&gt;">
            <v:imagedata r:id="rId8" o:title="" chromakey="white"/>
          </v:shape>
        </w:pict>
      </w:r>
      <w:r w:rsidRPr="00A425C1">
        <w:rPr>
          <w:rFonts w:ascii="宋体" w:hAnsi="宋体" w:hint="eastAsia"/>
          <w:szCs w:val="21"/>
        </w:rPr>
        <w:t>为待估参数向量，</w:t>
      </w:r>
      <m:oMath>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i</m:t>
            </m:r>
          </m:sub>
        </m:sSub>
      </m:oMath>
      <w:r w:rsidRPr="00A425C1">
        <w:rPr>
          <w:rFonts w:ascii="宋体" w:hAnsi="宋体" w:hint="eastAsia"/>
          <w:szCs w:val="21"/>
        </w:rPr>
        <w:t>为残差向量且</w:t>
      </w:r>
      <m:oMath>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i</m:t>
            </m:r>
          </m:sub>
        </m:sSub>
        <m:r>
          <m:rPr>
            <m:sty m:val="p"/>
          </m:rPr>
          <w:rPr>
            <w:rFonts w:ascii="Cambria Math" w:hAnsi="Cambria Math"/>
            <w:sz w:val="24"/>
          </w:rPr>
          <m:t>~N(0,σ)</m:t>
        </m:r>
      </m:oMath>
      <w:r w:rsidRPr="00A425C1">
        <w:rPr>
          <w:rFonts w:ascii="宋体" w:hAnsi="宋体" w:hint="eastAsia"/>
          <w:szCs w:val="21"/>
        </w:rPr>
        <w:t>。</w:t>
      </w:r>
      <m:oMath>
        <m:sSubSup>
          <m:sSubSupPr>
            <m:ctrlPr>
              <w:rPr>
                <w:rFonts w:ascii="Cambria Math" w:hAnsi="Cambria Math"/>
                <w:sz w:val="24"/>
              </w:rPr>
            </m:ctrlPr>
          </m:sSubSupPr>
          <m:e>
            <m:r>
              <m:rPr>
                <m:sty m:val="p"/>
              </m:rPr>
              <w:rPr>
                <w:rFonts w:ascii="Cambria Math" w:hAnsi="Cambria Math"/>
                <w:sz w:val="24"/>
              </w:rPr>
              <m:t>Y</m:t>
            </m:r>
          </m:e>
          <m:sub>
            <m:r>
              <m:rPr>
                <m:sty m:val="p"/>
              </m:rPr>
              <w:rPr>
                <w:rFonts w:ascii="Cambria Math" w:hAnsi="Cambria Math"/>
                <w:sz w:val="24"/>
              </w:rPr>
              <m:t>i</m:t>
            </m:r>
          </m:sub>
          <m:sup>
            <m:r>
              <m:rPr>
                <m:sty m:val="p"/>
              </m:rPr>
              <w:rPr>
                <w:rFonts w:ascii="Cambria Math" w:hAnsi="Cambria Math"/>
                <w:sz w:val="24"/>
              </w:rPr>
              <m:t>*</m:t>
            </m:r>
          </m:sup>
        </m:sSubSup>
      </m:oMath>
      <w:r w:rsidRPr="00A425C1">
        <w:rPr>
          <w:rFonts w:ascii="宋体" w:hAnsi="宋体" w:hint="eastAsia"/>
          <w:szCs w:val="21"/>
        </w:rPr>
        <w:t>为潜变量，</w:t>
      </w:r>
      <m:oMath>
        <m:sSubSup>
          <m:sSubSupPr>
            <m:ctrlPr>
              <w:rPr>
                <w:rFonts w:ascii="Cambria Math" w:hAnsi="Cambria Math"/>
                <w:sz w:val="24"/>
              </w:rPr>
            </m:ctrlPr>
          </m:sSubSupPr>
          <m:e>
            <m:r>
              <m:rPr>
                <m:sty m:val="p"/>
              </m:rPr>
              <w:rPr>
                <w:rFonts w:ascii="Cambria Math" w:hAnsi="Cambria Math"/>
                <w:sz w:val="24"/>
              </w:rPr>
              <m:t>Y</m:t>
            </m:r>
          </m:e>
          <m:sub>
            <m:r>
              <m:rPr>
                <m:sty m:val="p"/>
              </m:rPr>
              <w:rPr>
                <w:rFonts w:ascii="Cambria Math" w:hAnsi="Cambria Math"/>
                <w:sz w:val="24"/>
              </w:rPr>
              <m:t>i</m:t>
            </m:r>
          </m:sub>
          <m:sup>
            <m:r>
              <m:rPr>
                <m:sty m:val="p"/>
              </m:rPr>
              <w:rPr>
                <w:rFonts w:ascii="Cambria Math" w:hAnsi="Cambria Math"/>
                <w:sz w:val="24"/>
              </w:rPr>
              <m:t>*</m:t>
            </m:r>
          </m:sup>
        </m:sSubSup>
        <m:r>
          <m:rPr>
            <m:sty m:val="p"/>
          </m:rPr>
          <w:rPr>
            <w:rFonts w:ascii="Cambria Math" w:hAnsi="Cambria Math"/>
            <w:sz w:val="24"/>
          </w:rPr>
          <m:t>~N(</m:t>
        </m:r>
        <m:sSub>
          <m:sSubPr>
            <m:ctrlPr>
              <w:rPr>
                <w:rFonts w:ascii="Cambria Math" w:hAnsi="Cambria Math"/>
                <w:sz w:val="24"/>
              </w:rPr>
            </m:ctrlPr>
          </m:sSubPr>
          <m:e>
            <m:r>
              <m:rPr>
                <m:sty m:val="p"/>
              </m:rPr>
              <w:rPr>
                <w:rFonts w:ascii="Cambria Math" w:hAnsi="Cambria Math"/>
                <w:sz w:val="24"/>
              </w:rPr>
              <m:t>X</m:t>
            </m:r>
          </m:e>
          <m:sub>
            <m:r>
              <m:rPr>
                <m:sty m:val="p"/>
              </m:rPr>
              <w:rPr>
                <w:rFonts w:ascii="Cambria Math" w:hAnsi="Cambria Math"/>
                <w:sz w:val="24"/>
              </w:rPr>
              <m:t>i</m:t>
            </m:r>
          </m:sub>
        </m:sSub>
        <m:r>
          <m:rPr>
            <m:sty m:val="p"/>
          </m:rPr>
          <w:rPr>
            <w:rFonts w:ascii="Cambria Math" w:hAnsi="Cambria Math"/>
            <w:sz w:val="24"/>
          </w:rPr>
          <m:t>β,σ)</m:t>
        </m:r>
      </m:oMath>
      <w:r w:rsidRPr="00A425C1">
        <w:rPr>
          <w:rFonts w:ascii="宋体" w:hAnsi="宋体" w:hint="eastAsia"/>
          <w:szCs w:val="21"/>
        </w:rPr>
        <w:t>，通过潜变量的构造就解决了上述参数估计有偏和不一致的问题。</w:t>
      </w:r>
    </w:p>
    <w:p w:rsidR="00051959" w:rsidRPr="00A425C1" w:rsidRDefault="00051959" w:rsidP="00244AFC">
      <w:pPr>
        <w:ind w:firstLine="420"/>
        <w:rPr>
          <w:rFonts w:ascii="宋体" w:hAnsi="宋体"/>
          <w:szCs w:val="21"/>
        </w:rPr>
      </w:pPr>
      <w:r w:rsidRPr="00A425C1">
        <w:rPr>
          <w:rFonts w:ascii="宋体" w:hAnsi="宋体" w:hint="eastAsia"/>
          <w:szCs w:val="21"/>
        </w:rPr>
        <w:t>在具体的计量分析中，无需自行构造潜变量，只需在软件中指定</w:t>
      </w:r>
      <w:proofErr w:type="spellStart"/>
      <w:r w:rsidRPr="00A425C1">
        <w:rPr>
          <w:rFonts w:ascii="宋体" w:hAnsi="宋体" w:hint="eastAsia"/>
          <w:szCs w:val="21"/>
        </w:rPr>
        <w:t>Tobit</w:t>
      </w:r>
      <w:proofErr w:type="spellEnd"/>
      <w:r w:rsidRPr="00A425C1">
        <w:rPr>
          <w:rFonts w:ascii="宋体" w:hAnsi="宋体" w:hint="eastAsia"/>
          <w:szCs w:val="21"/>
        </w:rPr>
        <w:t>方法，并确定截断点即可。对于具体的方程形式，我们构造三个模型，分别为：</w:t>
      </w:r>
    </w:p>
    <w:p w:rsidR="00051959" w:rsidRPr="00A425C1" w:rsidRDefault="00051959" w:rsidP="00244AFC">
      <w:pPr>
        <w:ind w:firstLine="420"/>
        <w:rPr>
          <w:rFonts w:ascii="宋体" w:hAnsi="宋体"/>
          <w:szCs w:val="21"/>
        </w:rPr>
      </w:pPr>
    </w:p>
    <w:p w:rsidR="00051959" w:rsidRPr="00A425C1" w:rsidRDefault="00051959" w:rsidP="00BF30FC">
      <w:pPr>
        <w:ind w:firstLine="420"/>
        <w:rPr>
          <w:rFonts w:ascii="宋体" w:hAnsi="宋体"/>
          <w:szCs w:val="21"/>
        </w:rPr>
      </w:pPr>
      <m:oMath>
        <m:sSub>
          <m:sSubPr>
            <m:ctrlPr>
              <w:rPr>
                <w:rFonts w:ascii="Cambria Math" w:hAnsi="Cambria Math"/>
                <w:sz w:val="24"/>
              </w:rPr>
            </m:ctrlPr>
          </m:sSubPr>
          <m:e>
            <m:r>
              <m:rPr>
                <m:sty m:val="p"/>
              </m:rPr>
              <w:rPr>
                <w:rFonts w:ascii="Cambria Math" w:hAnsi="Cambria Math"/>
                <w:sz w:val="24"/>
              </w:rPr>
              <m:t>EFF</m:t>
            </m:r>
          </m:e>
          <m:sub>
            <m:r>
              <m:rPr>
                <m:sty m:val="p"/>
              </m:rPr>
              <w:rPr>
                <w:rFonts w:ascii="Cambria Math" w:hAnsi="Cambria Math"/>
                <w:sz w:val="24"/>
              </w:rPr>
              <m:t>it</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β</m:t>
            </m:r>
          </m:e>
          <m:sub>
            <m:r>
              <m:rPr>
                <m:sty m:val="p"/>
              </m:rPr>
              <w:rPr>
                <w:rFonts w:ascii="Cambria Math" w:hAnsi="Cambria Math"/>
                <w:sz w:val="24"/>
              </w:rPr>
              <m:t>1</m:t>
            </m:r>
          </m:sub>
        </m:sSub>
        <m:sSub>
          <m:sSubPr>
            <m:ctrlPr>
              <w:rPr>
                <w:rFonts w:ascii="Cambria Math" w:hAnsi="Cambria Math"/>
                <w:sz w:val="24"/>
              </w:rPr>
            </m:ctrlPr>
          </m:sSubPr>
          <m:e>
            <m:r>
              <m:rPr>
                <m:sty m:val="p"/>
              </m:rPr>
              <w:rPr>
                <w:rFonts w:ascii="Cambria Math" w:hAnsi="Cambria Math"/>
                <w:sz w:val="24"/>
              </w:rPr>
              <m:t>StaBiz</m:t>
            </m:r>
          </m:e>
          <m:sub>
            <m:r>
              <m:rPr>
                <m:sty m:val="p"/>
              </m:rPr>
              <w:rPr>
                <w:rFonts w:ascii="Cambria Math" w:hAnsi="Cambria Math"/>
                <w:sz w:val="24"/>
              </w:rPr>
              <m:t>it</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β</m:t>
            </m:r>
          </m:e>
          <m:sub>
            <m:r>
              <m:rPr>
                <m:sty m:val="p"/>
              </m:rPr>
              <w:rPr>
                <w:rFonts w:ascii="Cambria Math" w:hAnsi="Cambria Math"/>
                <w:sz w:val="24"/>
              </w:rPr>
              <m:t>2</m:t>
            </m:r>
          </m:sub>
        </m:sSub>
        <m:sSub>
          <m:sSubPr>
            <m:ctrlPr>
              <w:rPr>
                <w:rFonts w:ascii="Cambria Math" w:hAnsi="Cambria Math"/>
                <w:sz w:val="24"/>
              </w:rPr>
            </m:ctrlPr>
          </m:sSubPr>
          <m:e>
            <m:r>
              <m:rPr>
                <m:sty m:val="p"/>
              </m:rPr>
              <w:rPr>
                <w:rFonts w:ascii="Cambria Math" w:hAnsi="Cambria Math"/>
                <w:sz w:val="24"/>
              </w:rPr>
              <m:t>ConsPmt</m:t>
            </m:r>
          </m:e>
          <m:sub>
            <m:r>
              <m:rPr>
                <m:sty m:val="p"/>
              </m:rPr>
              <w:rPr>
                <w:rFonts w:ascii="Cambria Math" w:hAnsi="Cambria Math"/>
                <w:sz w:val="24"/>
              </w:rPr>
              <m:t>it</m:t>
            </m:r>
          </m:sub>
        </m:sSub>
        <m:r>
          <m:rPr>
            <m:sty m:val="p"/>
          </m:rPr>
          <w:rPr>
            <w:rFonts w:ascii="Cambria Math" w:hAnsi="Cambria Math"/>
            <w:sz w:val="24"/>
          </w:rPr>
          <m:t>+</m:t>
        </m:r>
        <m:sSub>
          <m:sSubPr>
            <m:ctrlPr>
              <w:rPr>
                <w:rFonts w:ascii="Cambria Math" w:hAnsi="Cambria Math"/>
                <w:sz w:val="24"/>
              </w:rPr>
            </m:ctrlPr>
          </m:sSubPr>
          <m:e>
            <m:sSub>
              <m:sSubPr>
                <m:ctrlPr>
                  <w:rPr>
                    <w:rFonts w:ascii="Cambria Math" w:hAnsi="Cambria Math"/>
                    <w:sz w:val="24"/>
                  </w:rPr>
                </m:ctrlPr>
              </m:sSubPr>
              <m:e>
                <m:r>
                  <m:rPr>
                    <m:sty m:val="p"/>
                  </m:rPr>
                  <w:rPr>
                    <w:rFonts w:ascii="Cambria Math" w:hAnsi="Cambria Math"/>
                    <w:sz w:val="24"/>
                  </w:rPr>
                  <m:t>β</m:t>
                </m:r>
              </m:e>
              <m:sub>
                <m:r>
                  <m:rPr>
                    <m:sty m:val="p"/>
                  </m:rPr>
                  <w:rPr>
                    <w:rFonts w:ascii="Cambria Math" w:hAnsi="Cambria Math"/>
                    <w:sz w:val="24"/>
                  </w:rPr>
                  <m:t>3</m:t>
                </m:r>
              </m:sub>
            </m:sSub>
            <m:sSub>
              <m:sSubPr>
                <m:ctrlPr>
                  <w:rPr>
                    <w:rFonts w:ascii="Cambria Math" w:hAnsi="Cambria Math"/>
                    <w:sz w:val="24"/>
                  </w:rPr>
                </m:ctrlPr>
              </m:sSubPr>
              <m:e>
                <m:r>
                  <m:rPr>
                    <m:sty m:val="p"/>
                  </m:rPr>
                  <w:rPr>
                    <w:rFonts w:ascii="Cambria Math" w:hAnsi="Cambria Math"/>
                    <w:sz w:val="24"/>
                  </w:rPr>
                  <m:t>GetPow</m:t>
                </m:r>
              </m:e>
              <m:sub>
                <m:r>
                  <m:rPr>
                    <m:sty m:val="p"/>
                  </m:rPr>
                  <w:rPr>
                    <w:rFonts w:ascii="Cambria Math" w:hAnsi="Cambria Math"/>
                    <w:sz w:val="24"/>
                  </w:rPr>
                  <m:t>it</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β</m:t>
                </m:r>
              </m:e>
              <m:sub>
                <m:r>
                  <m:rPr>
                    <m:sty m:val="p"/>
                  </m:rPr>
                  <w:rPr>
                    <w:rFonts w:ascii="Cambria Math" w:hAnsi="Cambria Math"/>
                    <w:sz w:val="24"/>
                  </w:rPr>
                  <m:t>4</m:t>
                </m:r>
              </m:sub>
            </m:sSub>
            <m:sSub>
              <m:sSubPr>
                <m:ctrlPr>
                  <w:rPr>
                    <w:rFonts w:ascii="Cambria Math" w:hAnsi="Cambria Math"/>
                    <w:sz w:val="24"/>
                  </w:rPr>
                </m:ctrlPr>
              </m:sSubPr>
              <m:e>
                <m:r>
                  <m:rPr>
                    <m:sty m:val="p"/>
                  </m:rPr>
                  <w:rPr>
                    <w:rFonts w:ascii="Cambria Math" w:hAnsi="Cambria Math"/>
                    <w:sz w:val="24"/>
                  </w:rPr>
                  <m:t>RegPro</m:t>
                </m:r>
              </m:e>
              <m:sub>
                <m:r>
                  <m:rPr>
                    <m:sty m:val="p"/>
                  </m:rPr>
                  <w:rPr>
                    <w:rFonts w:ascii="Cambria Math" w:hAnsi="Cambria Math"/>
                    <w:sz w:val="24"/>
                  </w:rPr>
                  <m:t>it</m:t>
                </m:r>
              </m:sub>
            </m:sSub>
            <m:r>
              <m:rPr>
                <m:sty m:val="p"/>
              </m:rPr>
              <w:rPr>
                <w:rFonts w:ascii="Cambria Math" w:hAnsi="Cambria Math"/>
                <w:sz w:val="24"/>
              </w:rPr>
              <m:t>+ε</m:t>
            </m:r>
          </m:e>
          <m:sub>
            <m:r>
              <m:rPr>
                <m:sty m:val="p"/>
              </m:rPr>
              <w:rPr>
                <w:rFonts w:ascii="Cambria Math" w:hAnsi="Cambria Math"/>
                <w:sz w:val="24"/>
              </w:rPr>
              <m:t>it</m:t>
            </m:r>
          </m:sub>
        </m:sSub>
      </m:oMath>
      <w:r w:rsidRPr="00A425C1">
        <w:rPr>
          <w:rFonts w:ascii="宋体" w:hAnsi="宋体" w:hint="eastAsia"/>
          <w:szCs w:val="21"/>
        </w:rPr>
        <w:t xml:space="preserve">   (1)</w:t>
      </w:r>
    </w:p>
    <w:p w:rsidR="00051959" w:rsidRPr="00A425C1" w:rsidRDefault="00051959" w:rsidP="00C65C97">
      <w:pPr>
        <w:rPr>
          <w:rFonts w:ascii="宋体" w:hAnsi="宋体"/>
          <w:szCs w:val="21"/>
        </w:rPr>
      </w:pPr>
      <m:oMath>
        <m:sSub>
          <m:sSubPr>
            <m:ctrlPr>
              <w:rPr>
                <w:rFonts w:ascii="Cambria Math" w:hAnsi="Cambria Math"/>
                <w:sz w:val="24"/>
              </w:rPr>
            </m:ctrlPr>
          </m:sSubPr>
          <m:e>
            <m:r>
              <m:rPr>
                <m:sty m:val="p"/>
              </m:rPr>
              <w:rPr>
                <w:rFonts w:ascii="Cambria Math" w:hAnsi="Cambria Math"/>
                <w:sz w:val="24"/>
              </w:rPr>
              <m:t>EFF</m:t>
            </m:r>
          </m:e>
          <m:sub>
            <m:r>
              <m:rPr>
                <m:sty m:val="p"/>
              </m:rPr>
              <w:rPr>
                <w:rFonts w:ascii="Cambria Math" w:hAnsi="Cambria Math"/>
                <w:sz w:val="24"/>
              </w:rPr>
              <m:t>it</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β</m:t>
            </m:r>
          </m:e>
          <m:sub>
            <m:r>
              <m:rPr>
                <m:sty m:val="p"/>
              </m:rPr>
              <w:rPr>
                <w:rFonts w:ascii="Cambria Math" w:hAnsi="Cambria Math"/>
                <w:sz w:val="24"/>
              </w:rPr>
              <m:t>5</m:t>
            </m:r>
          </m:sub>
        </m:sSub>
        <m:sSub>
          <m:sSubPr>
            <m:ctrlPr>
              <w:rPr>
                <w:rFonts w:ascii="Cambria Math" w:hAnsi="Cambria Math"/>
                <w:sz w:val="24"/>
              </w:rPr>
            </m:ctrlPr>
          </m:sSubPr>
          <m:e>
            <m:r>
              <m:rPr>
                <m:sty m:val="p"/>
              </m:rPr>
              <w:rPr>
                <w:rFonts w:ascii="Cambria Math" w:hAnsi="Cambria Math"/>
                <w:sz w:val="24"/>
              </w:rPr>
              <m:t>Credit</m:t>
            </m:r>
          </m:e>
          <m:sub>
            <m:r>
              <m:rPr>
                <m:sty m:val="p"/>
              </m:rPr>
              <w:rPr>
                <w:rFonts w:ascii="Cambria Math" w:hAnsi="Cambria Math"/>
                <w:sz w:val="24"/>
              </w:rPr>
              <m:t>it</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β</m:t>
            </m:r>
          </m:e>
          <m:sub>
            <m:r>
              <m:rPr>
                <m:sty m:val="p"/>
              </m:rPr>
              <w:rPr>
                <w:rFonts w:ascii="Cambria Math" w:hAnsi="Cambria Math"/>
                <w:sz w:val="24"/>
              </w:rPr>
              <m:t>6</m:t>
            </m:r>
          </m:sub>
        </m:sSub>
        <m:sSub>
          <m:sSubPr>
            <m:ctrlPr>
              <w:rPr>
                <w:rFonts w:ascii="Cambria Math" w:hAnsi="Cambria Math"/>
                <w:sz w:val="24"/>
              </w:rPr>
            </m:ctrlPr>
          </m:sSubPr>
          <m:e>
            <m:r>
              <m:rPr>
                <m:sty m:val="p"/>
              </m:rPr>
              <w:rPr>
                <w:rFonts w:ascii="Cambria Math" w:hAnsi="Cambria Math"/>
                <w:sz w:val="24"/>
              </w:rPr>
              <m:t>ProMiInv</m:t>
            </m:r>
          </m:e>
          <m:sub>
            <m:r>
              <m:rPr>
                <m:sty m:val="p"/>
              </m:rPr>
              <w:rPr>
                <w:rFonts w:ascii="Cambria Math" w:hAnsi="Cambria Math"/>
                <w:sz w:val="24"/>
              </w:rPr>
              <m:t>it</m:t>
            </m:r>
          </m:sub>
        </m:sSub>
        <m:r>
          <m:rPr>
            <m:sty m:val="p"/>
          </m:rPr>
          <w:rPr>
            <w:rFonts w:ascii="Cambria Math" w:hAnsi="Cambria Math"/>
            <w:sz w:val="24"/>
          </w:rPr>
          <m:t>+</m:t>
        </m:r>
        <m:sSub>
          <m:sSubPr>
            <m:ctrlPr>
              <w:rPr>
                <w:rFonts w:ascii="Cambria Math" w:hAnsi="Cambria Math"/>
                <w:sz w:val="24"/>
              </w:rPr>
            </m:ctrlPr>
          </m:sSubPr>
          <m:e>
            <m:sSub>
              <m:sSubPr>
                <m:ctrlPr>
                  <w:rPr>
                    <w:rFonts w:ascii="Cambria Math" w:hAnsi="Cambria Math"/>
                    <w:sz w:val="24"/>
                  </w:rPr>
                </m:ctrlPr>
              </m:sSubPr>
              <m:e>
                <m:r>
                  <m:rPr>
                    <m:sty m:val="p"/>
                  </m:rPr>
                  <w:rPr>
                    <w:rFonts w:ascii="Cambria Math" w:hAnsi="Cambria Math"/>
                    <w:sz w:val="24"/>
                  </w:rPr>
                  <m:t>β</m:t>
                </m:r>
              </m:e>
              <m:sub>
                <m:r>
                  <m:rPr>
                    <m:sty m:val="p"/>
                  </m:rPr>
                  <w:rPr>
                    <w:rFonts w:ascii="Cambria Math" w:hAnsi="Cambria Math"/>
                    <w:sz w:val="24"/>
                  </w:rPr>
                  <m:t>7</m:t>
                </m:r>
              </m:sub>
            </m:sSub>
            <m:sSub>
              <m:sSubPr>
                <m:ctrlPr>
                  <w:rPr>
                    <w:rFonts w:ascii="Cambria Math" w:hAnsi="Cambria Math"/>
                    <w:sz w:val="24"/>
                  </w:rPr>
                </m:ctrlPr>
              </m:sSubPr>
              <m:e>
                <m:r>
                  <m:rPr>
                    <m:sty m:val="p"/>
                  </m:rPr>
                  <w:rPr>
                    <w:rFonts w:ascii="Cambria Math" w:hAnsi="Cambria Math"/>
                    <w:sz w:val="24"/>
                  </w:rPr>
                  <m:t>Tax</m:t>
                </m:r>
              </m:e>
              <m:sub>
                <m:r>
                  <m:rPr>
                    <m:sty m:val="p"/>
                  </m:rPr>
                  <w:rPr>
                    <w:rFonts w:ascii="Cambria Math" w:hAnsi="Cambria Math"/>
                    <w:sz w:val="24"/>
                  </w:rPr>
                  <m:t>it</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β</m:t>
                </m:r>
              </m:e>
              <m:sub>
                <m:r>
                  <m:rPr>
                    <m:sty m:val="p"/>
                  </m:rPr>
                  <w:rPr>
                    <w:rFonts w:ascii="Cambria Math" w:hAnsi="Cambria Math"/>
                    <w:sz w:val="24"/>
                  </w:rPr>
                  <m:t>8</m:t>
                </m:r>
              </m:sub>
            </m:sSub>
            <m:sSub>
              <m:sSubPr>
                <m:ctrlPr>
                  <w:rPr>
                    <w:rFonts w:ascii="Cambria Math" w:hAnsi="Cambria Math"/>
                    <w:sz w:val="24"/>
                  </w:rPr>
                </m:ctrlPr>
              </m:sSubPr>
              <m:e>
                <m:r>
                  <m:rPr>
                    <m:sty m:val="p"/>
                  </m:rPr>
                  <w:rPr>
                    <w:rFonts w:ascii="Cambria Math" w:hAnsi="Cambria Math"/>
                    <w:sz w:val="24"/>
                  </w:rPr>
                  <m:t>EnCon</m:t>
                </m:r>
              </m:e>
              <m:sub>
                <m:r>
                  <m:rPr>
                    <m:sty m:val="p"/>
                  </m:rPr>
                  <w:rPr>
                    <w:rFonts w:ascii="Cambria Math" w:hAnsi="Cambria Math"/>
                    <w:sz w:val="24"/>
                  </w:rPr>
                  <m:t>it</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β</m:t>
                </m:r>
              </m:e>
              <m:sub>
                <m:r>
                  <m:rPr>
                    <m:sty m:val="p"/>
                  </m:rPr>
                  <w:rPr>
                    <w:rFonts w:ascii="Cambria Math" w:hAnsi="Cambria Math"/>
                    <w:sz w:val="24"/>
                  </w:rPr>
                  <m:t>9</m:t>
                </m:r>
              </m:sub>
            </m:sSub>
            <m:sSub>
              <m:sSubPr>
                <m:ctrlPr>
                  <w:rPr>
                    <w:rFonts w:ascii="Cambria Math" w:hAnsi="Cambria Math"/>
                    <w:sz w:val="24"/>
                  </w:rPr>
                </m:ctrlPr>
              </m:sSubPr>
              <m:e>
                <m:r>
                  <m:rPr>
                    <m:sty m:val="p"/>
                  </m:rPr>
                  <w:rPr>
                    <w:rFonts w:ascii="Cambria Math" w:hAnsi="Cambria Math"/>
                    <w:sz w:val="24"/>
                  </w:rPr>
                  <m:t>Trade</m:t>
                </m:r>
              </m:e>
              <m:sub>
                <m:r>
                  <m:rPr>
                    <m:sty m:val="p"/>
                  </m:rPr>
                  <w:rPr>
                    <w:rFonts w:ascii="Cambria Math" w:hAnsi="Cambria Math"/>
                    <w:sz w:val="24"/>
                  </w:rPr>
                  <m:t>it</m:t>
                </m:r>
              </m:sub>
            </m:sSub>
            <m:r>
              <m:rPr>
                <m:sty m:val="p"/>
              </m:rPr>
              <w:rPr>
                <w:rFonts w:ascii="Cambria Math" w:hAnsi="Cambria Math"/>
                <w:sz w:val="24"/>
              </w:rPr>
              <m:t>+ε</m:t>
            </m:r>
          </m:e>
          <m:sub>
            <m:r>
              <m:rPr>
                <m:sty m:val="p"/>
              </m:rPr>
              <w:rPr>
                <w:rFonts w:ascii="Cambria Math" w:hAnsi="Cambria Math"/>
                <w:sz w:val="24"/>
              </w:rPr>
              <m:t>it</m:t>
            </m:r>
          </m:sub>
        </m:sSub>
      </m:oMath>
      <w:r w:rsidRPr="00A425C1">
        <w:rPr>
          <w:rFonts w:ascii="宋体" w:hAnsi="宋体" w:hint="eastAsia"/>
          <w:szCs w:val="21"/>
        </w:rPr>
        <w:t xml:space="preserve"> (2)</w:t>
      </w:r>
    </w:p>
    <w:p w:rsidR="00051959" w:rsidRPr="00A425C1" w:rsidRDefault="00051959" w:rsidP="00C65C97">
      <w:pPr>
        <w:ind w:firstLine="420"/>
        <w:jc w:val="center"/>
        <w:rPr>
          <w:rFonts w:ascii="宋体" w:hAnsi="宋体"/>
          <w:szCs w:val="21"/>
        </w:rPr>
      </w:pPr>
      <m:oMath>
        <m:sSub>
          <m:sSubPr>
            <m:ctrlPr>
              <w:rPr>
                <w:rFonts w:ascii="Cambria Math" w:hAnsi="Cambria Math"/>
                <w:sz w:val="24"/>
              </w:rPr>
            </m:ctrlPr>
          </m:sSubPr>
          <m:e>
            <m:r>
              <m:rPr>
                <m:sty m:val="p"/>
              </m:rPr>
              <w:rPr>
                <w:rFonts w:ascii="Cambria Math" w:hAnsi="Cambria Math"/>
                <w:sz w:val="24"/>
              </w:rPr>
              <m:t>EFF</m:t>
            </m:r>
          </m:e>
          <m:sub>
            <m:r>
              <m:rPr>
                <m:sty m:val="p"/>
              </m:rPr>
              <w:rPr>
                <w:rFonts w:ascii="Cambria Math" w:hAnsi="Cambria Math"/>
                <w:sz w:val="24"/>
              </w:rPr>
              <m:t>it</m:t>
            </m:r>
          </m:sub>
        </m:sSub>
        <m:r>
          <m:rPr>
            <m:sty m:val="p"/>
          </m:rPr>
          <w:rPr>
            <w:rFonts w:ascii="Cambria Math" w:hAnsi="Cambria Math"/>
            <w:sz w:val="24"/>
          </w:rPr>
          <m:t>=</m:t>
        </m:r>
        <m:sSub>
          <m:sSubPr>
            <m:ctrlPr>
              <w:rPr>
                <w:rFonts w:ascii="Cambria Math" w:hAnsi="Cambria Math"/>
                <w:sz w:val="24"/>
              </w:rPr>
            </m:ctrlPr>
          </m:sSubPr>
          <m:e>
            <m:r>
              <m:rPr>
                <m:sty m:val="p"/>
              </m:rPr>
              <w:rPr>
                <w:rFonts w:ascii="Cambria Math" w:hAnsi="Cambria Math"/>
                <w:sz w:val="24"/>
              </w:rPr>
              <m:t>β</m:t>
            </m:r>
          </m:e>
          <m:sub>
            <m:r>
              <m:rPr>
                <m:sty m:val="p"/>
              </m:rPr>
              <w:rPr>
                <w:rFonts w:ascii="Cambria Math" w:hAnsi="Cambria Math"/>
                <w:sz w:val="24"/>
              </w:rPr>
              <m:t>10</m:t>
            </m:r>
          </m:sub>
        </m:sSub>
        <m:sSub>
          <m:sSubPr>
            <m:ctrlPr>
              <w:rPr>
                <w:rFonts w:ascii="Cambria Math" w:hAnsi="Cambria Math"/>
                <w:sz w:val="24"/>
              </w:rPr>
            </m:ctrlPr>
          </m:sSubPr>
          <m:e>
            <m:r>
              <m:rPr>
                <m:sty m:val="p"/>
              </m:rPr>
              <w:rPr>
                <w:rFonts w:ascii="Cambria Math" w:hAnsi="Cambria Math"/>
                <w:sz w:val="24"/>
              </w:rPr>
              <m:t>ReInv</m:t>
            </m:r>
          </m:e>
          <m:sub>
            <m:r>
              <m:rPr>
                <m:sty m:val="p"/>
              </m:rPr>
              <w:rPr>
                <w:rFonts w:ascii="Cambria Math" w:hAnsi="Cambria Math"/>
                <w:sz w:val="24"/>
              </w:rPr>
              <m:t>it</m:t>
            </m:r>
          </m:sub>
        </m:sSub>
        <m:sSub>
          <m:sSubPr>
            <m:ctrlPr>
              <w:rPr>
                <w:rFonts w:ascii="Cambria Math" w:hAnsi="Cambria Math"/>
                <w:sz w:val="24"/>
              </w:rPr>
            </m:ctrlPr>
          </m:sSubPr>
          <m:e>
            <m:r>
              <m:rPr>
                <m:sty m:val="p"/>
              </m:rPr>
              <w:rPr>
                <w:rFonts w:ascii="Cambria Math" w:hAnsi="Cambria Math"/>
                <w:sz w:val="24"/>
              </w:rPr>
              <m:t>+ε</m:t>
            </m:r>
          </m:e>
          <m:sub>
            <m:r>
              <m:rPr>
                <m:sty m:val="p"/>
              </m:rPr>
              <w:rPr>
                <w:rFonts w:ascii="Cambria Math" w:hAnsi="Cambria Math"/>
                <w:sz w:val="24"/>
              </w:rPr>
              <m:t>it</m:t>
            </m:r>
          </m:sub>
        </m:sSub>
      </m:oMath>
      <w:r w:rsidRPr="00A425C1">
        <w:rPr>
          <w:rFonts w:ascii="宋体" w:hAnsi="宋体" w:hint="eastAsia"/>
          <w:szCs w:val="21"/>
        </w:rPr>
        <w:t xml:space="preserve">   (3)</w:t>
      </w:r>
    </w:p>
    <w:p w:rsidR="00051959" w:rsidRPr="00C65C97" w:rsidRDefault="00051959" w:rsidP="00C65C97">
      <w:pPr>
        <w:rPr>
          <w:rFonts w:ascii="宋体" w:hAnsi="宋体"/>
          <w:sz w:val="24"/>
        </w:rPr>
      </w:pPr>
    </w:p>
    <w:p w:rsidR="00051959" w:rsidRPr="00A425C1" w:rsidRDefault="00051959" w:rsidP="00244AFC">
      <w:pPr>
        <w:ind w:firstLine="420"/>
        <w:rPr>
          <w:rFonts w:ascii="宋体" w:hAnsi="宋体"/>
          <w:szCs w:val="21"/>
        </w:rPr>
      </w:pPr>
      <w:r w:rsidRPr="00A425C1">
        <w:rPr>
          <w:rFonts w:ascii="宋体" w:hAnsi="宋体" w:hint="eastAsia"/>
          <w:szCs w:val="21"/>
        </w:rPr>
        <w:t>方程（1）中EFF表示技术效率，</w:t>
      </w:r>
      <w:proofErr w:type="spellStart"/>
      <w:r w:rsidRPr="00A425C1">
        <w:rPr>
          <w:rFonts w:ascii="宋体" w:hAnsi="宋体" w:hint="eastAsia"/>
          <w:szCs w:val="21"/>
        </w:rPr>
        <w:t>StaBiz</w:t>
      </w:r>
      <w:proofErr w:type="spellEnd"/>
      <w:r w:rsidRPr="00A425C1">
        <w:rPr>
          <w:rFonts w:ascii="宋体" w:hAnsi="宋体" w:hint="eastAsia"/>
          <w:szCs w:val="21"/>
        </w:rPr>
        <w:t>表示开办企业的情况得分，</w:t>
      </w:r>
      <w:proofErr w:type="spellStart"/>
      <w:r w:rsidRPr="00A425C1">
        <w:rPr>
          <w:rFonts w:ascii="宋体" w:hAnsi="宋体" w:hint="eastAsia"/>
          <w:szCs w:val="21"/>
        </w:rPr>
        <w:t>ConsPmt</w:t>
      </w:r>
      <w:proofErr w:type="spellEnd"/>
      <w:r w:rsidRPr="00A425C1">
        <w:rPr>
          <w:rFonts w:ascii="宋体" w:hAnsi="宋体" w:hint="eastAsia"/>
          <w:szCs w:val="21"/>
        </w:rPr>
        <w:t>表示获得建筑许可的情况得分，</w:t>
      </w:r>
      <w:proofErr w:type="spellStart"/>
      <w:r w:rsidRPr="00A425C1">
        <w:rPr>
          <w:rFonts w:ascii="宋体" w:hAnsi="宋体" w:hint="eastAsia"/>
          <w:szCs w:val="21"/>
        </w:rPr>
        <w:t>GetPow</w:t>
      </w:r>
      <w:proofErr w:type="spellEnd"/>
      <w:r w:rsidRPr="00A425C1">
        <w:rPr>
          <w:rFonts w:ascii="宋体" w:hAnsi="宋体" w:hint="eastAsia"/>
          <w:szCs w:val="21"/>
        </w:rPr>
        <w:t>表示获得电力的情况得分，</w:t>
      </w:r>
      <w:proofErr w:type="spellStart"/>
      <w:r w:rsidRPr="00A425C1">
        <w:rPr>
          <w:rFonts w:ascii="宋体" w:hAnsi="宋体" w:hint="eastAsia"/>
          <w:szCs w:val="21"/>
        </w:rPr>
        <w:t>RegPro</w:t>
      </w:r>
      <w:proofErr w:type="spellEnd"/>
      <w:r w:rsidRPr="00A425C1">
        <w:rPr>
          <w:rFonts w:ascii="宋体" w:hAnsi="宋体" w:hint="eastAsia"/>
          <w:szCs w:val="21"/>
        </w:rPr>
        <w:t>表示财产注册的情况得分，方程（1）可以理解为企业开办前的环境对投资效率的影响。方程（2）中Credit表示获得信贷企业的情况得分，</w:t>
      </w:r>
      <w:proofErr w:type="spellStart"/>
      <w:r w:rsidRPr="00A425C1">
        <w:rPr>
          <w:rFonts w:ascii="宋体" w:hAnsi="宋体" w:hint="eastAsia"/>
          <w:szCs w:val="21"/>
        </w:rPr>
        <w:t>ProMiInv</w:t>
      </w:r>
      <w:proofErr w:type="spellEnd"/>
      <w:r w:rsidRPr="00A425C1">
        <w:rPr>
          <w:rFonts w:ascii="宋体" w:hAnsi="宋体" w:hint="eastAsia"/>
          <w:szCs w:val="21"/>
        </w:rPr>
        <w:t>表示投资者保护的情况得分，Tax表示税收情况得分，</w:t>
      </w:r>
      <w:proofErr w:type="spellStart"/>
      <w:r w:rsidRPr="00A425C1">
        <w:rPr>
          <w:rFonts w:ascii="宋体" w:hAnsi="宋体" w:hint="eastAsia"/>
          <w:szCs w:val="21"/>
        </w:rPr>
        <w:t>EnCon</w:t>
      </w:r>
      <w:proofErr w:type="spellEnd"/>
      <w:r w:rsidRPr="00A425C1">
        <w:rPr>
          <w:rFonts w:ascii="宋体" w:hAnsi="宋体" w:hint="eastAsia"/>
          <w:szCs w:val="21"/>
        </w:rPr>
        <w:t>合同执行的情况得分，Trade表示跨境贸易的情况得分，方程（2）可以理解为企业运营中的环境对投资效率的影响。方程（3）中</w:t>
      </w:r>
      <w:proofErr w:type="spellStart"/>
      <w:r w:rsidRPr="00A425C1">
        <w:rPr>
          <w:rFonts w:ascii="宋体" w:hAnsi="宋体" w:hint="eastAsia"/>
          <w:szCs w:val="21"/>
        </w:rPr>
        <w:t>ReInv</w:t>
      </w:r>
      <w:proofErr w:type="spellEnd"/>
      <w:r w:rsidRPr="00A425C1">
        <w:rPr>
          <w:rFonts w:ascii="宋体" w:hAnsi="宋体" w:hint="eastAsia"/>
          <w:szCs w:val="21"/>
        </w:rPr>
        <w:t>表示解决破产问题的情况得分，该方程可以理解为企业破产后环境对投资效率的影响。这样我们就把影响投资效率的环境因素分成三个阶段，为了比较不同阶段对投资效率的影响，3个模型都不考虑常数项。三个方程中</w:t>
      </w:r>
      <m:oMath>
        <m:sSub>
          <m:sSubPr>
            <m:ctrlPr>
              <w:rPr>
                <w:rFonts w:ascii="Cambria Math" w:hAnsi="Cambria Math"/>
                <w:sz w:val="24"/>
              </w:rPr>
            </m:ctrlPr>
          </m:sSubPr>
          <m:e>
            <m:r>
              <m:rPr>
                <m:sty m:val="p"/>
              </m:rPr>
              <w:rPr>
                <w:rFonts w:ascii="Cambria Math" w:hAnsi="Cambria Math"/>
                <w:sz w:val="24"/>
              </w:rPr>
              <m:t>β</m:t>
            </m:r>
          </m:e>
          <m:sub>
            <m:r>
              <m:rPr>
                <m:sty m:val="p"/>
              </m:rPr>
              <w:rPr>
                <w:rFonts w:ascii="Cambria Math" w:hAnsi="Cambria Math"/>
                <w:sz w:val="24"/>
              </w:rPr>
              <m:t>1</m:t>
            </m:r>
          </m:sub>
        </m:sSub>
      </m:oMath>
      <w:r w:rsidRPr="00A425C1">
        <w:rPr>
          <w:rFonts w:ascii="宋体" w:hAnsi="宋体" w:hint="eastAsia"/>
          <w:szCs w:val="21"/>
        </w:rPr>
        <w:t>至</w:t>
      </w:r>
      <m:oMath>
        <m:sSub>
          <m:sSubPr>
            <m:ctrlPr>
              <w:rPr>
                <w:rFonts w:ascii="Cambria Math" w:hAnsi="Cambria Math"/>
                <w:sz w:val="24"/>
              </w:rPr>
            </m:ctrlPr>
          </m:sSubPr>
          <m:e>
            <m:r>
              <m:rPr>
                <m:sty m:val="p"/>
              </m:rPr>
              <w:rPr>
                <w:rFonts w:ascii="Cambria Math" w:hAnsi="Cambria Math"/>
                <w:sz w:val="24"/>
              </w:rPr>
              <m:t>β</m:t>
            </m:r>
          </m:e>
          <m:sub>
            <m:r>
              <m:rPr>
                <m:sty m:val="p"/>
              </m:rPr>
              <w:rPr>
                <w:rFonts w:ascii="Cambria Math" w:hAnsi="Cambria Math"/>
                <w:sz w:val="24"/>
              </w:rPr>
              <m:t>10</m:t>
            </m:r>
          </m:sub>
        </m:sSub>
      </m:oMath>
      <w:r w:rsidRPr="00A425C1">
        <w:rPr>
          <w:rFonts w:ascii="宋体" w:hAnsi="宋体" w:hint="eastAsia"/>
          <w:szCs w:val="21"/>
        </w:rPr>
        <w:t>分别10个变量的待估参数，预期这10个参数的系数都为正，即各种环境越好，技术效率越高，也即中国对上海合作组织国家的直接投资会导致两者经济联系加强。上述模型的计算时间段为2014-2016年，因为《营商报告》十个指标的得分最早追溯到2014年，相应地技术效率保持相同的时间段。</w:t>
      </w:r>
    </w:p>
    <w:p w:rsidR="00A23449" w:rsidRPr="00A425C1" w:rsidRDefault="00051959" w:rsidP="00244AFC">
      <w:pPr>
        <w:ind w:firstLine="420"/>
        <w:rPr>
          <w:rFonts w:ascii="宋体" w:hAnsi="宋体"/>
          <w:szCs w:val="21"/>
        </w:rPr>
      </w:pPr>
      <w:r w:rsidRPr="00A425C1">
        <w:rPr>
          <w:rFonts w:ascii="宋体" w:hAnsi="宋体" w:hint="eastAsia"/>
          <w:szCs w:val="21"/>
        </w:rPr>
        <w:t>应用Stata10.0进行计量分析，表6给出了面板</w:t>
      </w:r>
      <w:proofErr w:type="spellStart"/>
      <w:r w:rsidRPr="00A425C1">
        <w:rPr>
          <w:rFonts w:ascii="宋体" w:hAnsi="宋体" w:hint="eastAsia"/>
          <w:szCs w:val="21"/>
        </w:rPr>
        <w:t>Tobit</w:t>
      </w:r>
      <w:proofErr w:type="spellEnd"/>
      <w:r w:rsidRPr="00A425C1">
        <w:rPr>
          <w:rFonts w:ascii="宋体" w:hAnsi="宋体" w:hint="eastAsia"/>
          <w:szCs w:val="21"/>
        </w:rPr>
        <w:t>模型的计算结果。总体来讲模型的估计结果并不理想。模型一中的4个变量都没有通过显著性检验，即在统计意义上企业开办的手续复杂程度、建筑许可获得的快慢程度、获得电力的难易程度以及财产注册手续的快慢都不构成影响投资效率的因素。这一计量结果也不难理解：一方面，营商环境指数是针对所有企业的调查结果，并不只针对跨境直接投资；另一方面，作出跨境直接投资的决定比国内投资办企业的决定往往要更加深思熟虑，需要更长的时间，而开办前的环境相对就不重要了。模型二和模型三中的投资者保护情况以及解决破产问题的能力对投资效率具有显著性，两个变量的系数都为正（符合预期），即投资者保护和解决破产问题的环境越好，投资效率越高。而其他诸如信贷、税收、贸易环境对投资效率的影响都不显著。这一计量结果实际上</w:t>
      </w:r>
      <w:r w:rsidRPr="00A425C1">
        <w:rPr>
          <w:rFonts w:ascii="宋体" w:hAnsi="宋体" w:hint="eastAsia"/>
          <w:szCs w:val="21"/>
        </w:rPr>
        <w:lastRenderedPageBreak/>
        <w:t>反映出司法环境对跨境投资的重要性。</w:t>
      </w:r>
      <w:proofErr w:type="spellStart"/>
      <w:r w:rsidRPr="00A425C1">
        <w:rPr>
          <w:rFonts w:ascii="宋体" w:hAnsi="宋体"/>
          <w:szCs w:val="21"/>
        </w:rPr>
        <w:t>Schiffer</w:t>
      </w:r>
      <w:proofErr w:type="spellEnd"/>
      <w:r w:rsidRPr="00A425C1">
        <w:rPr>
          <w:rFonts w:ascii="宋体" w:hAnsi="宋体" w:hint="eastAsia"/>
          <w:szCs w:val="21"/>
        </w:rPr>
        <w:t xml:space="preserve"> &amp; </w:t>
      </w:r>
      <w:proofErr w:type="spellStart"/>
      <w:r w:rsidRPr="00A425C1">
        <w:rPr>
          <w:rFonts w:ascii="宋体" w:hAnsi="宋体"/>
          <w:szCs w:val="21"/>
        </w:rPr>
        <w:t>Weder</w:t>
      </w:r>
      <w:proofErr w:type="spellEnd"/>
      <w:r w:rsidRPr="00A425C1">
        <w:rPr>
          <w:rFonts w:ascii="宋体" w:hAnsi="宋体" w:hint="eastAsia"/>
          <w:szCs w:val="21"/>
        </w:rPr>
        <w:t>（2001）</w:t>
      </w:r>
      <w:r w:rsidRPr="00A425C1">
        <w:rPr>
          <w:rStyle w:val="a8"/>
          <w:rFonts w:ascii="宋体" w:hAnsi="宋体"/>
          <w:szCs w:val="21"/>
        </w:rPr>
        <w:footnoteReference w:id="16"/>
      </w:r>
      <w:r w:rsidRPr="00A425C1">
        <w:rPr>
          <w:rFonts w:ascii="宋体" w:hAnsi="宋体" w:hint="eastAsia"/>
          <w:szCs w:val="21"/>
        </w:rPr>
        <w:t>针</w:t>
      </w:r>
      <w:r w:rsidR="00BC4557" w:rsidRPr="00A425C1">
        <w:rPr>
          <w:rFonts w:ascii="宋体" w:hAnsi="宋体" w:hint="eastAsia"/>
          <w:szCs w:val="21"/>
        </w:rPr>
        <w:t>对世界范围内80个国家约1万家企业的经营障碍的调查报告也支持这一结论。该报告将调查对象分为大</w:t>
      </w:r>
      <w:r w:rsidR="0014239B" w:rsidRPr="00A425C1">
        <w:rPr>
          <w:rFonts w:ascii="宋体" w:hAnsi="宋体" w:hint="eastAsia"/>
          <w:szCs w:val="21"/>
        </w:rPr>
        <w:t>、</w:t>
      </w:r>
      <w:r w:rsidR="00BC4557" w:rsidRPr="00A425C1">
        <w:rPr>
          <w:rFonts w:ascii="宋体" w:hAnsi="宋体" w:hint="eastAsia"/>
          <w:szCs w:val="21"/>
        </w:rPr>
        <w:t>中</w:t>
      </w:r>
      <w:r w:rsidR="0014239B" w:rsidRPr="00A425C1">
        <w:rPr>
          <w:rFonts w:ascii="宋体" w:hAnsi="宋体" w:hint="eastAsia"/>
          <w:szCs w:val="21"/>
        </w:rPr>
        <w:t>、</w:t>
      </w:r>
      <w:r w:rsidR="00BC4557" w:rsidRPr="00A425C1">
        <w:rPr>
          <w:rFonts w:ascii="宋体" w:hAnsi="宋体" w:hint="eastAsia"/>
          <w:szCs w:val="21"/>
        </w:rPr>
        <w:t>小</w:t>
      </w:r>
      <w:r w:rsidR="0014239B" w:rsidRPr="00A425C1">
        <w:rPr>
          <w:rFonts w:ascii="宋体" w:hAnsi="宋体" w:hint="eastAsia"/>
          <w:szCs w:val="21"/>
        </w:rPr>
        <w:t>三种企业类型，并列出了</w:t>
      </w:r>
      <w:r w:rsidR="00BC4557" w:rsidRPr="00A425C1">
        <w:rPr>
          <w:rFonts w:ascii="宋体" w:hAnsi="宋体" w:hint="eastAsia"/>
          <w:szCs w:val="21"/>
        </w:rPr>
        <w:t>不利于企业经营的11个主要障碍</w:t>
      </w:r>
      <w:r w:rsidR="0014239B" w:rsidRPr="00A425C1">
        <w:rPr>
          <w:rFonts w:ascii="宋体" w:hAnsi="宋体" w:hint="eastAsia"/>
          <w:szCs w:val="21"/>
        </w:rPr>
        <w:t>。调查结果显示小企业经营中的最大障碍是融资难，对中型企业影响最大的障碍是基础设施不完善，司法障碍对大型企业的影响则最大。</w:t>
      </w:r>
    </w:p>
    <w:p w:rsidR="00FD53F8" w:rsidRPr="00A425C1" w:rsidRDefault="00C8177F" w:rsidP="00244AFC">
      <w:pPr>
        <w:ind w:firstLine="420"/>
        <w:rPr>
          <w:rFonts w:ascii="宋体" w:hAnsi="宋体"/>
          <w:szCs w:val="21"/>
        </w:rPr>
      </w:pPr>
      <w:r w:rsidRPr="00A425C1">
        <w:rPr>
          <w:rFonts w:ascii="宋体" w:hAnsi="宋体" w:hint="eastAsia"/>
          <w:szCs w:val="21"/>
        </w:rPr>
        <w:t>中</w:t>
      </w:r>
      <w:r w:rsidR="0014239B" w:rsidRPr="00A425C1">
        <w:rPr>
          <w:rFonts w:ascii="宋体" w:hAnsi="宋体" w:hint="eastAsia"/>
          <w:szCs w:val="21"/>
        </w:rPr>
        <w:t>国在“一带一路”战略中走出去的大</w:t>
      </w:r>
      <w:r w:rsidRPr="00A425C1">
        <w:rPr>
          <w:rFonts w:ascii="宋体" w:hAnsi="宋体" w:hint="eastAsia"/>
          <w:szCs w:val="21"/>
        </w:rPr>
        <w:t>多</w:t>
      </w:r>
      <w:r w:rsidR="0014239B" w:rsidRPr="00A425C1">
        <w:rPr>
          <w:rFonts w:ascii="宋体" w:hAnsi="宋体" w:hint="eastAsia"/>
          <w:szCs w:val="21"/>
        </w:rPr>
        <w:t>都是大型企业，开展的项目合作也是</w:t>
      </w:r>
      <w:r w:rsidRPr="00A425C1">
        <w:rPr>
          <w:rFonts w:ascii="宋体" w:hAnsi="宋体" w:hint="eastAsia"/>
          <w:szCs w:val="21"/>
        </w:rPr>
        <w:t>以</w:t>
      </w:r>
      <w:r w:rsidR="00C749AC" w:rsidRPr="00A425C1">
        <w:rPr>
          <w:rFonts w:ascii="宋体" w:hAnsi="宋体" w:hint="eastAsia"/>
          <w:szCs w:val="21"/>
        </w:rPr>
        <w:t>大项目为主，从国际经验来看</w:t>
      </w:r>
      <w:r w:rsidRPr="00A425C1">
        <w:rPr>
          <w:rFonts w:ascii="宋体" w:hAnsi="宋体" w:hint="eastAsia"/>
          <w:szCs w:val="21"/>
        </w:rPr>
        <w:t>，</w:t>
      </w:r>
      <w:r w:rsidR="00C749AC" w:rsidRPr="00A425C1">
        <w:rPr>
          <w:rFonts w:ascii="宋体" w:hAnsi="宋体" w:hint="eastAsia"/>
          <w:szCs w:val="21"/>
        </w:rPr>
        <w:t>大企业面临的经营障碍中最</w:t>
      </w:r>
      <w:r w:rsidR="00D40448" w:rsidRPr="00A425C1">
        <w:rPr>
          <w:rFonts w:ascii="宋体" w:hAnsi="宋体" w:hint="eastAsia"/>
          <w:szCs w:val="21"/>
        </w:rPr>
        <w:t>主要的是司法障碍；而</w:t>
      </w:r>
      <w:r w:rsidRPr="00A425C1">
        <w:rPr>
          <w:rFonts w:ascii="宋体" w:hAnsi="宋体" w:hint="eastAsia"/>
          <w:szCs w:val="21"/>
        </w:rPr>
        <w:t>本文</w:t>
      </w:r>
      <w:r w:rsidR="00D40448" w:rsidRPr="00A425C1">
        <w:rPr>
          <w:rFonts w:ascii="宋体" w:hAnsi="宋体" w:hint="eastAsia"/>
          <w:szCs w:val="21"/>
        </w:rPr>
        <w:t>的计量结果与国际经验几乎完全吻合。当前</w:t>
      </w:r>
      <w:r w:rsidR="00C749AC" w:rsidRPr="00A425C1">
        <w:rPr>
          <w:rFonts w:ascii="宋体" w:hAnsi="宋体" w:hint="eastAsia"/>
          <w:szCs w:val="21"/>
        </w:rPr>
        <w:t>在“一带一路”</w:t>
      </w:r>
      <w:r w:rsidR="00D40448" w:rsidRPr="00A425C1">
        <w:rPr>
          <w:rFonts w:ascii="宋体" w:hAnsi="宋体" w:hint="eastAsia"/>
          <w:szCs w:val="21"/>
        </w:rPr>
        <w:t>直接投资中，一些国家</w:t>
      </w:r>
      <w:r w:rsidRPr="00A425C1">
        <w:rPr>
          <w:rFonts w:ascii="宋体" w:hAnsi="宋体" w:hint="eastAsia"/>
          <w:szCs w:val="21"/>
        </w:rPr>
        <w:t>面临较大政治风险，政治体制的不稳定会自然</w:t>
      </w:r>
      <w:r w:rsidR="00A23449" w:rsidRPr="00A425C1">
        <w:rPr>
          <w:rFonts w:ascii="宋体" w:hAnsi="宋体" w:hint="eastAsia"/>
          <w:szCs w:val="21"/>
        </w:rPr>
        <w:t>会影响到外商直接投资的法治环境。</w:t>
      </w:r>
      <w:r w:rsidR="00E3627D" w:rsidRPr="00A425C1">
        <w:rPr>
          <w:rFonts w:ascii="宋体" w:hAnsi="宋体" w:hint="eastAsia"/>
          <w:szCs w:val="21"/>
        </w:rPr>
        <w:t>上海合作组织</w:t>
      </w:r>
      <w:r w:rsidR="00A23449" w:rsidRPr="00A425C1">
        <w:rPr>
          <w:rFonts w:ascii="宋体" w:hAnsi="宋体" w:hint="eastAsia"/>
          <w:szCs w:val="21"/>
        </w:rPr>
        <w:t>中的中亚国家的政治制度以强制总统制为突出特点，政权更替或政治强人的政策偏好变化都会对外商直接投资产生影响。例如吉尔吉斯斯坦曾经出现的颜色革命就对中吉两国的双边合作产生消极影响。一国的政治风险以及该国对外商直接投资的法治环境是</w:t>
      </w:r>
      <w:r w:rsidRPr="00A425C1">
        <w:rPr>
          <w:rFonts w:ascii="宋体" w:hAnsi="宋体" w:hint="eastAsia"/>
          <w:szCs w:val="21"/>
        </w:rPr>
        <w:t>中</w:t>
      </w:r>
      <w:r w:rsidR="00A23449" w:rsidRPr="00A425C1">
        <w:rPr>
          <w:rFonts w:ascii="宋体" w:hAnsi="宋体" w:hint="eastAsia"/>
          <w:szCs w:val="21"/>
        </w:rPr>
        <w:t>国在</w:t>
      </w:r>
      <w:r w:rsidR="00E3627D" w:rsidRPr="00A425C1">
        <w:rPr>
          <w:rFonts w:ascii="宋体" w:hAnsi="宋体" w:hint="eastAsia"/>
          <w:szCs w:val="21"/>
        </w:rPr>
        <w:t>上海合作组织</w:t>
      </w:r>
      <w:r w:rsidR="00A23449" w:rsidRPr="00A425C1">
        <w:rPr>
          <w:rFonts w:ascii="宋体" w:hAnsi="宋体" w:hint="eastAsia"/>
          <w:szCs w:val="21"/>
        </w:rPr>
        <w:t>国家乃至“一带一路”沿线国家投资中须特别注意的。</w:t>
      </w:r>
    </w:p>
    <w:p w:rsidR="002F5AFC" w:rsidRPr="00A425C1" w:rsidRDefault="002F5AFC" w:rsidP="00244AFC">
      <w:pPr>
        <w:ind w:firstLine="420"/>
        <w:rPr>
          <w:rFonts w:ascii="宋体" w:hAnsi="宋体"/>
          <w:szCs w:val="21"/>
        </w:rPr>
      </w:pPr>
    </w:p>
    <w:p w:rsidR="00695036" w:rsidRPr="00A425C1" w:rsidRDefault="00695036" w:rsidP="00244AFC">
      <w:pPr>
        <w:ind w:firstLine="420"/>
        <w:rPr>
          <w:rFonts w:ascii="宋体" w:hAnsi="宋体"/>
          <w:szCs w:val="21"/>
        </w:rPr>
      </w:pPr>
    </w:p>
    <w:p w:rsidR="00695036" w:rsidRPr="00A425C1" w:rsidRDefault="00695036" w:rsidP="004253E2">
      <w:pPr>
        <w:ind w:firstLine="420"/>
        <w:jc w:val="center"/>
        <w:rPr>
          <w:rFonts w:ascii="宋体" w:hAnsi="宋体"/>
          <w:szCs w:val="21"/>
        </w:rPr>
      </w:pPr>
      <w:r w:rsidRPr="00A425C1">
        <w:rPr>
          <w:rFonts w:ascii="宋体" w:hAnsi="宋体" w:hint="eastAsia"/>
          <w:szCs w:val="21"/>
        </w:rPr>
        <w:t>表6  中国对</w:t>
      </w:r>
      <w:r w:rsidR="00E3627D" w:rsidRPr="00A425C1">
        <w:rPr>
          <w:rFonts w:ascii="宋体" w:hAnsi="宋体" w:hint="eastAsia"/>
          <w:szCs w:val="21"/>
        </w:rPr>
        <w:t>上海合作组织</w:t>
      </w:r>
      <w:r w:rsidRPr="00A425C1">
        <w:rPr>
          <w:rFonts w:ascii="宋体" w:hAnsi="宋体" w:hint="eastAsia"/>
          <w:szCs w:val="21"/>
        </w:rPr>
        <w:t>国家投资效率的</w:t>
      </w:r>
      <w:r w:rsidR="004253E2" w:rsidRPr="00A425C1">
        <w:rPr>
          <w:rFonts w:ascii="宋体" w:hAnsi="宋体" w:hint="eastAsia"/>
          <w:szCs w:val="21"/>
        </w:rPr>
        <w:t>影响因素分析</w:t>
      </w:r>
    </w:p>
    <w:tbl>
      <w:tblPr>
        <w:tblW w:w="9152" w:type="dxa"/>
        <w:jc w:val="center"/>
        <w:tblInd w:w="250" w:type="dxa"/>
        <w:tblLook w:val="04A0"/>
      </w:tblPr>
      <w:tblGrid>
        <w:gridCol w:w="1266"/>
        <w:gridCol w:w="1056"/>
        <w:gridCol w:w="846"/>
        <w:gridCol w:w="741"/>
        <w:gridCol w:w="951"/>
        <w:gridCol w:w="846"/>
        <w:gridCol w:w="741"/>
        <w:gridCol w:w="1056"/>
        <w:gridCol w:w="846"/>
        <w:gridCol w:w="803"/>
      </w:tblGrid>
      <w:tr w:rsidR="00695036" w:rsidRPr="00695036" w:rsidTr="00695036">
        <w:trPr>
          <w:trHeight w:val="288"/>
          <w:jc w:val="center"/>
        </w:trPr>
        <w:tc>
          <w:tcPr>
            <w:tcW w:w="1266" w:type="dxa"/>
            <w:vMerge w:val="restart"/>
            <w:tcBorders>
              <w:top w:val="single" w:sz="8" w:space="0" w:color="auto"/>
              <w:left w:val="nil"/>
              <w:bottom w:val="single" w:sz="8" w:space="0" w:color="000000"/>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变量</w:t>
            </w:r>
          </w:p>
        </w:tc>
        <w:tc>
          <w:tcPr>
            <w:tcW w:w="2643" w:type="dxa"/>
            <w:gridSpan w:val="3"/>
            <w:tcBorders>
              <w:top w:val="single" w:sz="8" w:space="0" w:color="auto"/>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模型一：开办前环境</w:t>
            </w:r>
          </w:p>
        </w:tc>
        <w:tc>
          <w:tcPr>
            <w:tcW w:w="2538" w:type="dxa"/>
            <w:gridSpan w:val="3"/>
            <w:tcBorders>
              <w:top w:val="single" w:sz="8" w:space="0" w:color="auto"/>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模型二：运营中环境</w:t>
            </w:r>
          </w:p>
        </w:tc>
        <w:tc>
          <w:tcPr>
            <w:tcW w:w="2705" w:type="dxa"/>
            <w:gridSpan w:val="3"/>
            <w:tcBorders>
              <w:top w:val="single" w:sz="8" w:space="0" w:color="auto"/>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模型三：破产后环境</w:t>
            </w:r>
          </w:p>
        </w:tc>
      </w:tr>
      <w:tr w:rsidR="00695036" w:rsidRPr="00695036" w:rsidTr="00695036">
        <w:trPr>
          <w:trHeight w:val="300"/>
          <w:jc w:val="center"/>
        </w:trPr>
        <w:tc>
          <w:tcPr>
            <w:tcW w:w="1266" w:type="dxa"/>
            <w:vMerge/>
            <w:tcBorders>
              <w:top w:val="single" w:sz="8" w:space="0" w:color="auto"/>
              <w:left w:val="nil"/>
              <w:bottom w:val="single" w:sz="8" w:space="0" w:color="000000"/>
              <w:right w:val="nil"/>
            </w:tcBorders>
            <w:vAlign w:val="center"/>
            <w:hideMark/>
          </w:tcPr>
          <w:p w:rsidR="00695036" w:rsidRPr="00695036" w:rsidRDefault="00695036" w:rsidP="00695036">
            <w:pPr>
              <w:widowControl/>
              <w:jc w:val="left"/>
              <w:rPr>
                <w:rFonts w:ascii="宋体" w:hAnsi="宋体" w:cs="宋体"/>
                <w:color w:val="000000"/>
                <w:kern w:val="0"/>
                <w:szCs w:val="21"/>
              </w:rPr>
            </w:pPr>
          </w:p>
        </w:tc>
        <w:tc>
          <w:tcPr>
            <w:tcW w:w="1056" w:type="dxa"/>
            <w:tcBorders>
              <w:top w:val="nil"/>
              <w:left w:val="nil"/>
              <w:bottom w:val="single" w:sz="8" w:space="0" w:color="auto"/>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系数</w:t>
            </w:r>
          </w:p>
        </w:tc>
        <w:tc>
          <w:tcPr>
            <w:tcW w:w="846" w:type="dxa"/>
            <w:tcBorders>
              <w:top w:val="nil"/>
              <w:left w:val="nil"/>
              <w:bottom w:val="single" w:sz="8" w:space="0" w:color="auto"/>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标准误</w:t>
            </w:r>
          </w:p>
        </w:tc>
        <w:tc>
          <w:tcPr>
            <w:tcW w:w="741" w:type="dxa"/>
            <w:tcBorders>
              <w:top w:val="nil"/>
              <w:left w:val="nil"/>
              <w:bottom w:val="single" w:sz="8" w:space="0" w:color="auto"/>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P值</w:t>
            </w:r>
          </w:p>
        </w:tc>
        <w:tc>
          <w:tcPr>
            <w:tcW w:w="951" w:type="dxa"/>
            <w:tcBorders>
              <w:top w:val="nil"/>
              <w:left w:val="nil"/>
              <w:bottom w:val="single" w:sz="8" w:space="0" w:color="auto"/>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系数</w:t>
            </w:r>
          </w:p>
        </w:tc>
        <w:tc>
          <w:tcPr>
            <w:tcW w:w="846" w:type="dxa"/>
            <w:tcBorders>
              <w:top w:val="nil"/>
              <w:left w:val="nil"/>
              <w:bottom w:val="single" w:sz="8" w:space="0" w:color="auto"/>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标准误</w:t>
            </w:r>
          </w:p>
        </w:tc>
        <w:tc>
          <w:tcPr>
            <w:tcW w:w="741" w:type="dxa"/>
            <w:tcBorders>
              <w:top w:val="nil"/>
              <w:left w:val="nil"/>
              <w:bottom w:val="single" w:sz="8" w:space="0" w:color="auto"/>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P值</w:t>
            </w:r>
          </w:p>
        </w:tc>
        <w:tc>
          <w:tcPr>
            <w:tcW w:w="1056" w:type="dxa"/>
            <w:tcBorders>
              <w:top w:val="nil"/>
              <w:left w:val="nil"/>
              <w:bottom w:val="single" w:sz="8" w:space="0" w:color="auto"/>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系数</w:t>
            </w:r>
          </w:p>
        </w:tc>
        <w:tc>
          <w:tcPr>
            <w:tcW w:w="846" w:type="dxa"/>
            <w:tcBorders>
              <w:top w:val="nil"/>
              <w:left w:val="nil"/>
              <w:bottom w:val="single" w:sz="8" w:space="0" w:color="auto"/>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标准误</w:t>
            </w:r>
          </w:p>
        </w:tc>
        <w:tc>
          <w:tcPr>
            <w:tcW w:w="803" w:type="dxa"/>
            <w:tcBorders>
              <w:top w:val="nil"/>
              <w:left w:val="nil"/>
              <w:bottom w:val="single" w:sz="8" w:space="0" w:color="auto"/>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P值</w:t>
            </w:r>
          </w:p>
        </w:tc>
      </w:tr>
      <w:tr w:rsidR="00695036" w:rsidRPr="00695036" w:rsidTr="00695036">
        <w:trPr>
          <w:trHeight w:val="288"/>
          <w:jc w:val="center"/>
        </w:trPr>
        <w:tc>
          <w:tcPr>
            <w:tcW w:w="126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roofErr w:type="spellStart"/>
            <w:r w:rsidRPr="00695036">
              <w:rPr>
                <w:rFonts w:ascii="宋体" w:hAnsi="宋体" w:cs="宋体" w:hint="eastAsia"/>
                <w:color w:val="000000"/>
                <w:kern w:val="0"/>
                <w:szCs w:val="21"/>
              </w:rPr>
              <w:t>StaBiz</w:t>
            </w:r>
            <w:proofErr w:type="spellEnd"/>
          </w:p>
        </w:tc>
        <w:tc>
          <w:tcPr>
            <w:tcW w:w="105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 xml:space="preserve">0.0236 </w:t>
            </w:r>
          </w:p>
        </w:tc>
        <w:tc>
          <w:tcPr>
            <w:tcW w:w="84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 xml:space="preserve">0.0264 </w:t>
            </w:r>
          </w:p>
        </w:tc>
        <w:tc>
          <w:tcPr>
            <w:tcW w:w="741"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0.372</w:t>
            </w:r>
          </w:p>
        </w:tc>
        <w:tc>
          <w:tcPr>
            <w:tcW w:w="951"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c>
          <w:tcPr>
            <w:tcW w:w="84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c>
          <w:tcPr>
            <w:tcW w:w="741"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c>
          <w:tcPr>
            <w:tcW w:w="105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c>
          <w:tcPr>
            <w:tcW w:w="84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c>
          <w:tcPr>
            <w:tcW w:w="803"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r>
      <w:tr w:rsidR="00695036" w:rsidRPr="00695036" w:rsidTr="00695036">
        <w:trPr>
          <w:trHeight w:val="288"/>
          <w:jc w:val="center"/>
        </w:trPr>
        <w:tc>
          <w:tcPr>
            <w:tcW w:w="126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roofErr w:type="spellStart"/>
            <w:r w:rsidRPr="00695036">
              <w:rPr>
                <w:rFonts w:ascii="宋体" w:hAnsi="宋体" w:cs="宋体" w:hint="eastAsia"/>
                <w:color w:val="000000"/>
                <w:kern w:val="0"/>
                <w:szCs w:val="21"/>
              </w:rPr>
              <w:t>ConsPmt</w:t>
            </w:r>
            <w:proofErr w:type="spellEnd"/>
          </w:p>
        </w:tc>
        <w:tc>
          <w:tcPr>
            <w:tcW w:w="105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 xml:space="preserve">-0.0191 </w:t>
            </w:r>
          </w:p>
        </w:tc>
        <w:tc>
          <w:tcPr>
            <w:tcW w:w="84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 xml:space="preserve">0.0204 </w:t>
            </w:r>
          </w:p>
        </w:tc>
        <w:tc>
          <w:tcPr>
            <w:tcW w:w="741"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0.349</w:t>
            </w:r>
          </w:p>
        </w:tc>
        <w:tc>
          <w:tcPr>
            <w:tcW w:w="951"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c>
          <w:tcPr>
            <w:tcW w:w="84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c>
          <w:tcPr>
            <w:tcW w:w="741"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c>
          <w:tcPr>
            <w:tcW w:w="105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c>
          <w:tcPr>
            <w:tcW w:w="84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c>
          <w:tcPr>
            <w:tcW w:w="803"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r>
      <w:tr w:rsidR="00695036" w:rsidRPr="00695036" w:rsidTr="00695036">
        <w:trPr>
          <w:trHeight w:val="288"/>
          <w:jc w:val="center"/>
        </w:trPr>
        <w:tc>
          <w:tcPr>
            <w:tcW w:w="126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roofErr w:type="spellStart"/>
            <w:r w:rsidRPr="00695036">
              <w:rPr>
                <w:rFonts w:ascii="宋体" w:hAnsi="宋体" w:cs="宋体" w:hint="eastAsia"/>
                <w:color w:val="000000"/>
                <w:kern w:val="0"/>
                <w:szCs w:val="21"/>
              </w:rPr>
              <w:t>GetPow</w:t>
            </w:r>
            <w:proofErr w:type="spellEnd"/>
          </w:p>
        </w:tc>
        <w:tc>
          <w:tcPr>
            <w:tcW w:w="105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 xml:space="preserve">0.0155 </w:t>
            </w:r>
          </w:p>
        </w:tc>
        <w:tc>
          <w:tcPr>
            <w:tcW w:w="84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 xml:space="preserve">0.0136 </w:t>
            </w:r>
          </w:p>
        </w:tc>
        <w:tc>
          <w:tcPr>
            <w:tcW w:w="741"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0.256</w:t>
            </w:r>
          </w:p>
        </w:tc>
        <w:tc>
          <w:tcPr>
            <w:tcW w:w="951"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c>
          <w:tcPr>
            <w:tcW w:w="84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c>
          <w:tcPr>
            <w:tcW w:w="741"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c>
          <w:tcPr>
            <w:tcW w:w="105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c>
          <w:tcPr>
            <w:tcW w:w="84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c>
          <w:tcPr>
            <w:tcW w:w="803"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r>
      <w:tr w:rsidR="00695036" w:rsidRPr="00695036" w:rsidTr="00695036">
        <w:trPr>
          <w:trHeight w:val="288"/>
          <w:jc w:val="center"/>
        </w:trPr>
        <w:tc>
          <w:tcPr>
            <w:tcW w:w="126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roofErr w:type="spellStart"/>
            <w:r w:rsidRPr="00695036">
              <w:rPr>
                <w:rFonts w:ascii="宋体" w:hAnsi="宋体" w:cs="宋体" w:hint="eastAsia"/>
                <w:color w:val="000000"/>
                <w:kern w:val="0"/>
                <w:szCs w:val="21"/>
              </w:rPr>
              <w:t>RegPro</w:t>
            </w:r>
            <w:proofErr w:type="spellEnd"/>
          </w:p>
        </w:tc>
        <w:tc>
          <w:tcPr>
            <w:tcW w:w="1056" w:type="dxa"/>
            <w:tcBorders>
              <w:top w:val="nil"/>
              <w:left w:val="nil"/>
              <w:bottom w:val="single" w:sz="4" w:space="0" w:color="auto"/>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 xml:space="preserve">-0.0008 </w:t>
            </w:r>
          </w:p>
        </w:tc>
        <w:tc>
          <w:tcPr>
            <w:tcW w:w="846" w:type="dxa"/>
            <w:tcBorders>
              <w:top w:val="nil"/>
              <w:left w:val="nil"/>
              <w:bottom w:val="single" w:sz="4" w:space="0" w:color="auto"/>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 xml:space="preserve">0.0227 </w:t>
            </w:r>
          </w:p>
        </w:tc>
        <w:tc>
          <w:tcPr>
            <w:tcW w:w="741" w:type="dxa"/>
            <w:tcBorders>
              <w:top w:val="nil"/>
              <w:left w:val="nil"/>
              <w:bottom w:val="single" w:sz="4" w:space="0" w:color="auto"/>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0.973</w:t>
            </w:r>
          </w:p>
        </w:tc>
        <w:tc>
          <w:tcPr>
            <w:tcW w:w="951"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c>
          <w:tcPr>
            <w:tcW w:w="84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c>
          <w:tcPr>
            <w:tcW w:w="741"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c>
          <w:tcPr>
            <w:tcW w:w="105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c>
          <w:tcPr>
            <w:tcW w:w="84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c>
          <w:tcPr>
            <w:tcW w:w="803"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r>
      <w:tr w:rsidR="00695036" w:rsidRPr="00695036" w:rsidTr="00695036">
        <w:trPr>
          <w:trHeight w:val="288"/>
          <w:jc w:val="center"/>
        </w:trPr>
        <w:tc>
          <w:tcPr>
            <w:tcW w:w="1266" w:type="dxa"/>
            <w:tcBorders>
              <w:top w:val="single" w:sz="4" w:space="0" w:color="auto"/>
              <w:left w:val="nil"/>
              <w:bottom w:val="nil"/>
              <w:right w:val="nil"/>
            </w:tcBorders>
            <w:shd w:val="clear" w:color="auto" w:fill="auto"/>
            <w:noWrap/>
            <w:vAlign w:val="center"/>
            <w:hideMark/>
          </w:tcPr>
          <w:p w:rsidR="00695036" w:rsidRPr="00695036" w:rsidRDefault="00357F36" w:rsidP="00695036">
            <w:pPr>
              <w:widowControl/>
              <w:jc w:val="center"/>
              <w:rPr>
                <w:rFonts w:ascii="宋体" w:hAnsi="宋体" w:cs="宋体"/>
                <w:color w:val="000000"/>
                <w:kern w:val="0"/>
                <w:szCs w:val="21"/>
              </w:rPr>
            </w:pPr>
            <w:r>
              <w:rPr>
                <w:rFonts w:ascii="宋体" w:hAnsi="宋体" w:cs="宋体" w:hint="eastAsia"/>
                <w:noProof/>
                <w:color w:val="000000"/>
                <w:kern w:val="0"/>
                <w:szCs w:val="21"/>
              </w:rPr>
              <w:drawing>
                <wp:anchor distT="6096" distB="8001" distL="114300" distR="114300" simplePos="0" relativeHeight="251656192" behindDoc="0" locked="0" layoutInCell="1" allowOverlap="1">
                  <wp:simplePos x="0" y="0"/>
                  <wp:positionH relativeFrom="column">
                    <wp:posOffset>-21209</wp:posOffset>
                  </wp:positionH>
                  <wp:positionV relativeFrom="paragraph">
                    <wp:posOffset>193929</wp:posOffset>
                  </wp:positionV>
                  <wp:extent cx="772922" cy="184912"/>
                  <wp:effectExtent l="6096" t="0" r="1397" b="0"/>
                  <wp:wrapNone/>
                  <wp:docPr id="3" name="椭圆 1"/>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8638520" y="3710940"/>
                            <a:ext cx="960120" cy="144780"/>
                            <a:chOff x="18638520" y="3710940"/>
                            <a:chExt cx="960120" cy="144780"/>
                          </a:xfrm>
                        </a:grpSpPr>
                        <a:sp>
                          <a:nvSpPr>
                            <a:cNvPr id="2" name="椭圆 1"/>
                            <a:cNvSpPr/>
                          </a:nvSpPr>
                          <a:spPr>
                            <a:xfrm>
                              <a:off x="18638520" y="3710940"/>
                              <a:ext cx="960120" cy="144780"/>
                            </a:xfrm>
                            <a:prstGeom prst="ellipse">
                              <a:avLst/>
                            </a:prstGeom>
                            <a:noFill/>
                            <a:ln>
                              <a:solidFill>
                                <a:srgbClr val="FF0000"/>
                              </a:solidFill>
                            </a:ln>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r w:rsidR="00695036" w:rsidRPr="00695036">
              <w:rPr>
                <w:rFonts w:ascii="宋体" w:hAnsi="宋体" w:cs="宋体" w:hint="eastAsia"/>
                <w:color w:val="000000"/>
                <w:kern w:val="0"/>
                <w:szCs w:val="21"/>
              </w:rPr>
              <w:t>Credit</w:t>
            </w:r>
          </w:p>
        </w:tc>
        <w:tc>
          <w:tcPr>
            <w:tcW w:w="105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c>
          <w:tcPr>
            <w:tcW w:w="84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c>
          <w:tcPr>
            <w:tcW w:w="741"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c>
          <w:tcPr>
            <w:tcW w:w="951" w:type="dxa"/>
            <w:tcBorders>
              <w:top w:val="single" w:sz="4" w:space="0" w:color="auto"/>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 xml:space="preserve">0.0072 </w:t>
            </w:r>
          </w:p>
        </w:tc>
        <w:tc>
          <w:tcPr>
            <w:tcW w:w="846" w:type="dxa"/>
            <w:tcBorders>
              <w:top w:val="single" w:sz="4" w:space="0" w:color="auto"/>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 xml:space="preserve">0.0104 </w:t>
            </w:r>
          </w:p>
        </w:tc>
        <w:tc>
          <w:tcPr>
            <w:tcW w:w="741" w:type="dxa"/>
            <w:tcBorders>
              <w:top w:val="single" w:sz="4" w:space="0" w:color="auto"/>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 xml:space="preserve">0.487 </w:t>
            </w:r>
          </w:p>
        </w:tc>
        <w:tc>
          <w:tcPr>
            <w:tcW w:w="105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c>
          <w:tcPr>
            <w:tcW w:w="84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c>
          <w:tcPr>
            <w:tcW w:w="803"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r>
      <w:tr w:rsidR="00695036" w:rsidRPr="00695036" w:rsidTr="00695036">
        <w:trPr>
          <w:trHeight w:val="288"/>
          <w:jc w:val="center"/>
        </w:trPr>
        <w:tc>
          <w:tcPr>
            <w:tcW w:w="126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roofErr w:type="spellStart"/>
            <w:r w:rsidRPr="00695036">
              <w:rPr>
                <w:rFonts w:ascii="宋体" w:hAnsi="宋体" w:cs="宋体" w:hint="eastAsia"/>
                <w:color w:val="000000"/>
                <w:kern w:val="0"/>
                <w:szCs w:val="21"/>
              </w:rPr>
              <w:t>ProMiInv</w:t>
            </w:r>
            <w:proofErr w:type="spellEnd"/>
          </w:p>
        </w:tc>
        <w:tc>
          <w:tcPr>
            <w:tcW w:w="105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c>
          <w:tcPr>
            <w:tcW w:w="84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c>
          <w:tcPr>
            <w:tcW w:w="741"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c>
          <w:tcPr>
            <w:tcW w:w="951"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 xml:space="preserve">0.0501 </w:t>
            </w:r>
          </w:p>
        </w:tc>
        <w:tc>
          <w:tcPr>
            <w:tcW w:w="84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 xml:space="preserve">0.0116 </w:t>
            </w:r>
          </w:p>
        </w:tc>
        <w:tc>
          <w:tcPr>
            <w:tcW w:w="741"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 xml:space="preserve">0.000 </w:t>
            </w:r>
          </w:p>
        </w:tc>
        <w:tc>
          <w:tcPr>
            <w:tcW w:w="105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c>
          <w:tcPr>
            <w:tcW w:w="84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c>
          <w:tcPr>
            <w:tcW w:w="803"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r>
      <w:tr w:rsidR="00695036" w:rsidRPr="00695036" w:rsidTr="00695036">
        <w:trPr>
          <w:trHeight w:val="288"/>
          <w:jc w:val="center"/>
        </w:trPr>
        <w:tc>
          <w:tcPr>
            <w:tcW w:w="126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Tax</w:t>
            </w:r>
          </w:p>
        </w:tc>
        <w:tc>
          <w:tcPr>
            <w:tcW w:w="105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c>
          <w:tcPr>
            <w:tcW w:w="84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c>
          <w:tcPr>
            <w:tcW w:w="741"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c>
          <w:tcPr>
            <w:tcW w:w="951"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 xml:space="preserve">-0.0105 </w:t>
            </w:r>
          </w:p>
        </w:tc>
        <w:tc>
          <w:tcPr>
            <w:tcW w:w="84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 xml:space="preserve">0.0107 </w:t>
            </w:r>
          </w:p>
        </w:tc>
        <w:tc>
          <w:tcPr>
            <w:tcW w:w="741"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 xml:space="preserve">0.328 </w:t>
            </w:r>
          </w:p>
        </w:tc>
        <w:tc>
          <w:tcPr>
            <w:tcW w:w="105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c>
          <w:tcPr>
            <w:tcW w:w="84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c>
          <w:tcPr>
            <w:tcW w:w="803"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r>
      <w:tr w:rsidR="00695036" w:rsidRPr="00695036" w:rsidTr="00695036">
        <w:trPr>
          <w:trHeight w:val="288"/>
          <w:jc w:val="center"/>
        </w:trPr>
        <w:tc>
          <w:tcPr>
            <w:tcW w:w="126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roofErr w:type="spellStart"/>
            <w:r w:rsidRPr="00695036">
              <w:rPr>
                <w:rFonts w:ascii="宋体" w:hAnsi="宋体" w:cs="宋体" w:hint="eastAsia"/>
                <w:color w:val="000000"/>
                <w:kern w:val="0"/>
                <w:szCs w:val="21"/>
              </w:rPr>
              <w:t>EnCon</w:t>
            </w:r>
            <w:proofErr w:type="spellEnd"/>
          </w:p>
        </w:tc>
        <w:tc>
          <w:tcPr>
            <w:tcW w:w="105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c>
          <w:tcPr>
            <w:tcW w:w="84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c>
          <w:tcPr>
            <w:tcW w:w="741"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c>
          <w:tcPr>
            <w:tcW w:w="951"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 xml:space="preserve">-0.0211 </w:t>
            </w:r>
          </w:p>
        </w:tc>
        <w:tc>
          <w:tcPr>
            <w:tcW w:w="84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 xml:space="preserve">0.0145 </w:t>
            </w:r>
          </w:p>
        </w:tc>
        <w:tc>
          <w:tcPr>
            <w:tcW w:w="741"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 xml:space="preserve">0.145 </w:t>
            </w:r>
          </w:p>
        </w:tc>
        <w:tc>
          <w:tcPr>
            <w:tcW w:w="105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c>
          <w:tcPr>
            <w:tcW w:w="84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c>
          <w:tcPr>
            <w:tcW w:w="803"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r>
      <w:tr w:rsidR="00695036" w:rsidRPr="00695036" w:rsidTr="00695036">
        <w:trPr>
          <w:trHeight w:val="288"/>
          <w:jc w:val="center"/>
        </w:trPr>
        <w:tc>
          <w:tcPr>
            <w:tcW w:w="1266" w:type="dxa"/>
            <w:tcBorders>
              <w:top w:val="nil"/>
              <w:left w:val="nil"/>
              <w:bottom w:val="single" w:sz="4" w:space="0" w:color="auto"/>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 xml:space="preserve">Trade </w:t>
            </w:r>
          </w:p>
        </w:tc>
        <w:tc>
          <w:tcPr>
            <w:tcW w:w="105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c>
          <w:tcPr>
            <w:tcW w:w="84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c>
          <w:tcPr>
            <w:tcW w:w="741"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c>
          <w:tcPr>
            <w:tcW w:w="951" w:type="dxa"/>
            <w:tcBorders>
              <w:top w:val="nil"/>
              <w:left w:val="nil"/>
              <w:bottom w:val="single" w:sz="4" w:space="0" w:color="auto"/>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 xml:space="preserve">-0.0071 </w:t>
            </w:r>
          </w:p>
        </w:tc>
        <w:tc>
          <w:tcPr>
            <w:tcW w:w="846" w:type="dxa"/>
            <w:tcBorders>
              <w:top w:val="nil"/>
              <w:left w:val="nil"/>
              <w:bottom w:val="single" w:sz="4" w:space="0" w:color="auto"/>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 xml:space="preserve">0.0056 </w:t>
            </w:r>
          </w:p>
        </w:tc>
        <w:tc>
          <w:tcPr>
            <w:tcW w:w="741" w:type="dxa"/>
            <w:tcBorders>
              <w:top w:val="nil"/>
              <w:left w:val="nil"/>
              <w:bottom w:val="single" w:sz="4" w:space="0" w:color="auto"/>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 xml:space="preserve">0.205 </w:t>
            </w:r>
          </w:p>
        </w:tc>
        <w:tc>
          <w:tcPr>
            <w:tcW w:w="105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c>
          <w:tcPr>
            <w:tcW w:w="84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c>
          <w:tcPr>
            <w:tcW w:w="803"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r>
      <w:tr w:rsidR="00695036" w:rsidRPr="00695036" w:rsidTr="00695036">
        <w:trPr>
          <w:trHeight w:val="288"/>
          <w:jc w:val="center"/>
        </w:trPr>
        <w:tc>
          <w:tcPr>
            <w:tcW w:w="1266" w:type="dxa"/>
            <w:tcBorders>
              <w:top w:val="nil"/>
              <w:left w:val="nil"/>
              <w:bottom w:val="nil"/>
              <w:right w:val="nil"/>
            </w:tcBorders>
            <w:shd w:val="clear" w:color="auto" w:fill="auto"/>
            <w:noWrap/>
            <w:vAlign w:val="center"/>
            <w:hideMark/>
          </w:tcPr>
          <w:p w:rsidR="00695036" w:rsidRPr="00695036" w:rsidRDefault="00357F36" w:rsidP="00695036">
            <w:pPr>
              <w:widowControl/>
              <w:jc w:val="center"/>
              <w:rPr>
                <w:rFonts w:ascii="宋体" w:hAnsi="宋体" w:cs="宋体"/>
                <w:color w:val="000000"/>
                <w:kern w:val="0"/>
                <w:szCs w:val="21"/>
              </w:rPr>
            </w:pPr>
            <w:r>
              <w:rPr>
                <w:rFonts w:ascii="宋体" w:hAnsi="宋体" w:cs="宋体" w:hint="eastAsia"/>
                <w:noProof/>
                <w:color w:val="000000"/>
                <w:kern w:val="0"/>
                <w:szCs w:val="21"/>
              </w:rPr>
              <w:drawing>
                <wp:anchor distT="6096" distB="8001" distL="114300" distR="115316" simplePos="0" relativeHeight="251657216" behindDoc="0" locked="0" layoutInCell="1" allowOverlap="1">
                  <wp:simplePos x="0" y="0"/>
                  <wp:positionH relativeFrom="column">
                    <wp:posOffset>1016</wp:posOffset>
                  </wp:positionH>
                  <wp:positionV relativeFrom="paragraph">
                    <wp:posOffset>8509</wp:posOffset>
                  </wp:positionV>
                  <wp:extent cx="726440" cy="184912"/>
                  <wp:effectExtent l="6096" t="0" r="0" b="0"/>
                  <wp:wrapNone/>
                  <wp:docPr id="2" name="椭圆 2"/>
                  <wp:cNvGraphicFramePr>
                    <a:graphicFrameLocks xmlns:a="http://schemas.openxmlformats.org/drawingml/2006/main"/>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18646140" y="4442460"/>
                            <a:ext cx="960120" cy="144780"/>
                            <a:chOff x="18646140" y="4442460"/>
                            <a:chExt cx="960120" cy="144780"/>
                          </a:xfrm>
                        </a:grpSpPr>
                        <a:sp>
                          <a:nvSpPr>
                            <a:cNvPr id="3" name="椭圆 2"/>
                            <a:cNvSpPr/>
                          </a:nvSpPr>
                          <a:spPr>
                            <a:xfrm>
                              <a:off x="18646140" y="4442460"/>
                              <a:ext cx="960120" cy="144780"/>
                            </a:xfrm>
                            <a:prstGeom prst="ellipse">
                              <a:avLst/>
                            </a:prstGeom>
                            <a:noFill/>
                            <a:ln>
                              <a:solidFill>
                                <a:srgbClr val="FF0000"/>
                              </a:solidFill>
                            </a:ln>
                          </a:spPr>
                          <a:txSp>
                            <a:txBody>
                              <a:bodyPr rtlCol="0" anchor="ctr"/>
                              <a:lstStyle>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a:pPr algn="ctr"/>
                                <a:endParaRPr lang="zh-CN" altLang="en-US" sz="110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proofErr w:type="spellStart"/>
            <w:r w:rsidR="00695036" w:rsidRPr="00695036">
              <w:rPr>
                <w:rFonts w:ascii="宋体" w:hAnsi="宋体" w:cs="宋体" w:hint="eastAsia"/>
                <w:color w:val="000000"/>
                <w:kern w:val="0"/>
                <w:szCs w:val="21"/>
              </w:rPr>
              <w:t>ReInv</w:t>
            </w:r>
            <w:proofErr w:type="spellEnd"/>
          </w:p>
        </w:tc>
        <w:tc>
          <w:tcPr>
            <w:tcW w:w="105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c>
          <w:tcPr>
            <w:tcW w:w="84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c>
          <w:tcPr>
            <w:tcW w:w="741"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c>
          <w:tcPr>
            <w:tcW w:w="951"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c>
          <w:tcPr>
            <w:tcW w:w="84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c>
          <w:tcPr>
            <w:tcW w:w="741"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
        </w:tc>
        <w:tc>
          <w:tcPr>
            <w:tcW w:w="1056" w:type="dxa"/>
            <w:tcBorders>
              <w:top w:val="single" w:sz="4" w:space="0" w:color="auto"/>
              <w:left w:val="nil"/>
              <w:bottom w:val="single" w:sz="4" w:space="0" w:color="auto"/>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 xml:space="preserve">0.0257 </w:t>
            </w:r>
          </w:p>
        </w:tc>
        <w:tc>
          <w:tcPr>
            <w:tcW w:w="846" w:type="dxa"/>
            <w:tcBorders>
              <w:top w:val="single" w:sz="4" w:space="0" w:color="auto"/>
              <w:left w:val="nil"/>
              <w:bottom w:val="single" w:sz="4" w:space="0" w:color="auto"/>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 xml:space="preserve">0.0103 </w:t>
            </w:r>
          </w:p>
        </w:tc>
        <w:tc>
          <w:tcPr>
            <w:tcW w:w="803" w:type="dxa"/>
            <w:tcBorders>
              <w:top w:val="single" w:sz="4" w:space="0" w:color="auto"/>
              <w:left w:val="nil"/>
              <w:bottom w:val="single" w:sz="4" w:space="0" w:color="auto"/>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0.013</w:t>
            </w:r>
          </w:p>
        </w:tc>
      </w:tr>
      <w:tr w:rsidR="00695036" w:rsidRPr="00695036" w:rsidTr="00695036">
        <w:trPr>
          <w:trHeight w:val="288"/>
          <w:jc w:val="center"/>
        </w:trPr>
        <w:tc>
          <w:tcPr>
            <w:tcW w:w="1266" w:type="dxa"/>
            <w:tcBorders>
              <w:top w:val="single" w:sz="4" w:space="0" w:color="auto"/>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观测数</w:t>
            </w:r>
          </w:p>
        </w:tc>
        <w:tc>
          <w:tcPr>
            <w:tcW w:w="2643" w:type="dxa"/>
            <w:gridSpan w:val="3"/>
            <w:tcBorders>
              <w:top w:val="single" w:sz="4" w:space="0" w:color="auto"/>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105</w:t>
            </w:r>
          </w:p>
        </w:tc>
        <w:tc>
          <w:tcPr>
            <w:tcW w:w="2538" w:type="dxa"/>
            <w:gridSpan w:val="3"/>
            <w:tcBorders>
              <w:top w:val="single" w:sz="4" w:space="0" w:color="auto"/>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126</w:t>
            </w:r>
          </w:p>
        </w:tc>
        <w:tc>
          <w:tcPr>
            <w:tcW w:w="2705" w:type="dxa"/>
            <w:gridSpan w:val="3"/>
            <w:tcBorders>
              <w:top w:val="single" w:sz="4" w:space="0" w:color="auto"/>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21</w:t>
            </w:r>
          </w:p>
        </w:tc>
      </w:tr>
      <w:tr w:rsidR="00695036" w:rsidRPr="00695036" w:rsidTr="00695036">
        <w:trPr>
          <w:trHeight w:val="288"/>
          <w:jc w:val="center"/>
        </w:trPr>
        <w:tc>
          <w:tcPr>
            <w:tcW w:w="1266" w:type="dxa"/>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Log likelihood</w:t>
            </w:r>
          </w:p>
        </w:tc>
        <w:tc>
          <w:tcPr>
            <w:tcW w:w="2643" w:type="dxa"/>
            <w:gridSpan w:val="3"/>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 xml:space="preserve">-10.4595 </w:t>
            </w:r>
          </w:p>
        </w:tc>
        <w:tc>
          <w:tcPr>
            <w:tcW w:w="2538" w:type="dxa"/>
            <w:gridSpan w:val="3"/>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 xml:space="preserve">-4.7204 </w:t>
            </w:r>
          </w:p>
        </w:tc>
        <w:tc>
          <w:tcPr>
            <w:tcW w:w="2705" w:type="dxa"/>
            <w:gridSpan w:val="3"/>
            <w:tcBorders>
              <w:top w:val="nil"/>
              <w:left w:val="nil"/>
              <w:bottom w:val="nil"/>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 xml:space="preserve">-13.6672 </w:t>
            </w:r>
          </w:p>
        </w:tc>
      </w:tr>
      <w:tr w:rsidR="00695036" w:rsidRPr="00695036" w:rsidTr="00695036">
        <w:trPr>
          <w:trHeight w:val="300"/>
          <w:jc w:val="center"/>
        </w:trPr>
        <w:tc>
          <w:tcPr>
            <w:tcW w:w="1266" w:type="dxa"/>
            <w:tcBorders>
              <w:top w:val="nil"/>
              <w:left w:val="nil"/>
              <w:bottom w:val="single" w:sz="8" w:space="0" w:color="auto"/>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proofErr w:type="spellStart"/>
            <w:r w:rsidRPr="00695036">
              <w:rPr>
                <w:rFonts w:ascii="宋体" w:hAnsi="宋体" w:cs="宋体" w:hint="eastAsia"/>
                <w:color w:val="000000"/>
                <w:kern w:val="0"/>
                <w:szCs w:val="21"/>
              </w:rPr>
              <w:t>Prob</w:t>
            </w:r>
            <w:proofErr w:type="spellEnd"/>
            <w:r w:rsidRPr="00695036">
              <w:rPr>
                <w:rFonts w:ascii="宋体" w:hAnsi="宋体" w:cs="宋体" w:hint="eastAsia"/>
                <w:color w:val="000000"/>
                <w:kern w:val="0"/>
                <w:szCs w:val="21"/>
              </w:rPr>
              <w:t>＞chi2</w:t>
            </w:r>
          </w:p>
        </w:tc>
        <w:tc>
          <w:tcPr>
            <w:tcW w:w="2643" w:type="dxa"/>
            <w:gridSpan w:val="3"/>
            <w:tcBorders>
              <w:top w:val="nil"/>
              <w:left w:val="nil"/>
              <w:bottom w:val="single" w:sz="8" w:space="0" w:color="auto"/>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 xml:space="preserve">0.0071 </w:t>
            </w:r>
          </w:p>
        </w:tc>
        <w:tc>
          <w:tcPr>
            <w:tcW w:w="2538" w:type="dxa"/>
            <w:gridSpan w:val="3"/>
            <w:tcBorders>
              <w:top w:val="nil"/>
              <w:left w:val="nil"/>
              <w:bottom w:val="single" w:sz="8" w:space="0" w:color="auto"/>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 xml:space="preserve">0.0000 </w:t>
            </w:r>
          </w:p>
        </w:tc>
        <w:tc>
          <w:tcPr>
            <w:tcW w:w="2705" w:type="dxa"/>
            <w:gridSpan w:val="3"/>
            <w:tcBorders>
              <w:top w:val="nil"/>
              <w:left w:val="nil"/>
              <w:bottom w:val="single" w:sz="8" w:space="0" w:color="auto"/>
              <w:right w:val="nil"/>
            </w:tcBorders>
            <w:shd w:val="clear" w:color="auto" w:fill="auto"/>
            <w:noWrap/>
            <w:vAlign w:val="center"/>
            <w:hideMark/>
          </w:tcPr>
          <w:p w:rsidR="00695036" w:rsidRPr="00695036" w:rsidRDefault="00695036" w:rsidP="00695036">
            <w:pPr>
              <w:widowControl/>
              <w:jc w:val="center"/>
              <w:rPr>
                <w:rFonts w:ascii="宋体" w:hAnsi="宋体" w:cs="宋体"/>
                <w:color w:val="000000"/>
                <w:kern w:val="0"/>
                <w:szCs w:val="21"/>
              </w:rPr>
            </w:pPr>
            <w:r w:rsidRPr="00695036">
              <w:rPr>
                <w:rFonts w:ascii="宋体" w:hAnsi="宋体" w:cs="宋体" w:hint="eastAsia"/>
                <w:color w:val="000000"/>
                <w:kern w:val="0"/>
                <w:szCs w:val="21"/>
              </w:rPr>
              <w:t xml:space="preserve">0.0128 </w:t>
            </w:r>
          </w:p>
        </w:tc>
      </w:tr>
    </w:tbl>
    <w:p w:rsidR="00695036" w:rsidRDefault="00695036" w:rsidP="00244AFC">
      <w:pPr>
        <w:ind w:firstLine="420"/>
        <w:rPr>
          <w:rFonts w:ascii="宋体" w:hAnsi="宋体"/>
          <w:sz w:val="24"/>
        </w:rPr>
      </w:pPr>
    </w:p>
    <w:p w:rsidR="00D474D5" w:rsidRPr="00D964C5" w:rsidRDefault="00D474D5" w:rsidP="00D474D5">
      <w:pPr>
        <w:widowControl/>
        <w:adjustRightInd w:val="0"/>
        <w:spacing w:before="100" w:beforeAutospacing="1" w:after="100" w:afterAutospacing="1" w:line="400" w:lineRule="exact"/>
        <w:jc w:val="center"/>
        <w:outlineLvl w:val="0"/>
        <w:rPr>
          <w:rFonts w:ascii="黑体" w:eastAsia="黑体" w:hAnsi="黑体" w:cs="宋体"/>
          <w:b/>
          <w:kern w:val="0"/>
          <w:sz w:val="24"/>
        </w:rPr>
      </w:pPr>
      <w:r w:rsidRPr="00D964C5">
        <w:rPr>
          <w:rFonts w:ascii="黑体" w:eastAsia="黑体" w:hAnsi="黑体" w:cs="宋体" w:hint="eastAsia"/>
          <w:b/>
          <w:kern w:val="0"/>
          <w:sz w:val="24"/>
        </w:rPr>
        <w:t>六、结论</w:t>
      </w:r>
    </w:p>
    <w:p w:rsidR="00446F2A" w:rsidRPr="00A425C1" w:rsidRDefault="00446F2A" w:rsidP="00D474D5">
      <w:pPr>
        <w:ind w:firstLine="420"/>
        <w:rPr>
          <w:rFonts w:ascii="宋体" w:hAnsi="宋体"/>
          <w:szCs w:val="21"/>
        </w:rPr>
      </w:pPr>
      <w:r w:rsidRPr="00A425C1">
        <w:rPr>
          <w:rFonts w:ascii="宋体" w:hAnsi="宋体" w:hint="eastAsia"/>
          <w:szCs w:val="21"/>
        </w:rPr>
        <w:t>中国的“一带一路”战略不同于过去发达国家以跨国公司为载体、以攫取价值链高端利润为目标的全球化战略，</w:t>
      </w:r>
      <w:r w:rsidR="008F5CA2" w:rsidRPr="00A425C1">
        <w:rPr>
          <w:rFonts w:ascii="宋体" w:hAnsi="宋体" w:hint="eastAsia"/>
          <w:szCs w:val="21"/>
        </w:rPr>
        <w:t>而</w:t>
      </w:r>
      <w:r w:rsidRPr="00A425C1">
        <w:rPr>
          <w:rFonts w:ascii="宋体" w:hAnsi="宋体" w:hint="eastAsia"/>
          <w:szCs w:val="21"/>
        </w:rPr>
        <w:t>是以基础设施这一公共产品为切入点、以实现区域的共享发展和可持续发展为目标。</w:t>
      </w:r>
      <w:r w:rsidR="00490273" w:rsidRPr="00A425C1">
        <w:rPr>
          <w:rFonts w:ascii="宋体" w:hAnsi="宋体" w:hint="eastAsia"/>
          <w:szCs w:val="21"/>
        </w:rPr>
        <w:t>因而本文</w:t>
      </w:r>
      <w:r w:rsidRPr="00A425C1">
        <w:rPr>
          <w:rFonts w:ascii="宋体" w:hAnsi="宋体" w:hint="eastAsia"/>
          <w:szCs w:val="21"/>
        </w:rPr>
        <w:t>针对中国跨境直接投资的效率评价目标是</w:t>
      </w:r>
      <w:r w:rsidR="00490273" w:rsidRPr="00A425C1">
        <w:rPr>
          <w:rFonts w:ascii="宋体" w:hAnsi="宋体" w:hint="eastAsia"/>
          <w:szCs w:val="21"/>
        </w:rPr>
        <w:t>：跨境直接投资是否</w:t>
      </w:r>
      <w:r w:rsidRPr="00A425C1">
        <w:rPr>
          <w:rFonts w:ascii="宋体" w:hAnsi="宋体" w:hint="eastAsia"/>
          <w:szCs w:val="21"/>
        </w:rPr>
        <w:t>带来</w:t>
      </w:r>
      <w:r w:rsidR="00E3627D" w:rsidRPr="00A425C1">
        <w:rPr>
          <w:rFonts w:ascii="宋体" w:hAnsi="宋体" w:hint="eastAsia"/>
          <w:szCs w:val="21"/>
        </w:rPr>
        <w:t>上海合作组织</w:t>
      </w:r>
      <w:r w:rsidRPr="00A425C1">
        <w:rPr>
          <w:rFonts w:ascii="宋体" w:hAnsi="宋体" w:hint="eastAsia"/>
          <w:szCs w:val="21"/>
        </w:rPr>
        <w:t>国家与中国的经济联系进一步加强</w:t>
      </w:r>
      <w:r w:rsidR="00490273" w:rsidRPr="00A425C1">
        <w:rPr>
          <w:rFonts w:ascii="宋体" w:hAnsi="宋体" w:hint="eastAsia"/>
          <w:szCs w:val="21"/>
        </w:rPr>
        <w:t>，通过构建DEA-面板</w:t>
      </w:r>
      <w:proofErr w:type="spellStart"/>
      <w:r w:rsidR="00490273" w:rsidRPr="00A425C1">
        <w:rPr>
          <w:rFonts w:ascii="宋体" w:hAnsi="宋体" w:hint="eastAsia"/>
          <w:szCs w:val="21"/>
        </w:rPr>
        <w:t>Tobit</w:t>
      </w:r>
      <w:proofErr w:type="spellEnd"/>
      <w:r w:rsidR="00490273" w:rsidRPr="00A425C1">
        <w:rPr>
          <w:rFonts w:ascii="宋体" w:hAnsi="宋体" w:hint="eastAsia"/>
          <w:szCs w:val="21"/>
        </w:rPr>
        <w:t>两阶段分析框架，</w:t>
      </w:r>
      <w:r w:rsidR="00C8177F" w:rsidRPr="00A425C1">
        <w:rPr>
          <w:rFonts w:ascii="宋体" w:hAnsi="宋体" w:hint="eastAsia"/>
          <w:szCs w:val="21"/>
        </w:rPr>
        <w:t>本文</w:t>
      </w:r>
      <w:r w:rsidR="00490273" w:rsidRPr="00A425C1">
        <w:rPr>
          <w:rFonts w:ascii="宋体" w:hAnsi="宋体" w:hint="eastAsia"/>
          <w:szCs w:val="21"/>
        </w:rPr>
        <w:t>既考察了中国对</w:t>
      </w:r>
      <w:r w:rsidR="00E3627D" w:rsidRPr="00A425C1">
        <w:rPr>
          <w:rFonts w:ascii="宋体" w:hAnsi="宋体" w:hint="eastAsia"/>
          <w:szCs w:val="21"/>
        </w:rPr>
        <w:t>上海合作组织</w:t>
      </w:r>
      <w:r w:rsidR="00490273" w:rsidRPr="00A425C1">
        <w:rPr>
          <w:rFonts w:ascii="宋体" w:hAnsi="宋体" w:hint="eastAsia"/>
          <w:szCs w:val="21"/>
        </w:rPr>
        <w:t>国家的投资效率，又分析了影响效率的因素。通过研究</w:t>
      </w:r>
      <w:r w:rsidR="00C8177F" w:rsidRPr="00A425C1">
        <w:rPr>
          <w:rFonts w:ascii="宋体" w:hAnsi="宋体" w:hint="eastAsia"/>
          <w:szCs w:val="21"/>
        </w:rPr>
        <w:t>得出</w:t>
      </w:r>
      <w:r w:rsidR="00490273" w:rsidRPr="00A425C1">
        <w:rPr>
          <w:rFonts w:ascii="宋体" w:hAnsi="宋体" w:hint="eastAsia"/>
          <w:szCs w:val="21"/>
        </w:rPr>
        <w:t>以下结论：</w:t>
      </w:r>
    </w:p>
    <w:p w:rsidR="00490273" w:rsidRPr="00A425C1" w:rsidRDefault="00490273" w:rsidP="00D474D5">
      <w:pPr>
        <w:ind w:firstLine="420"/>
        <w:rPr>
          <w:rFonts w:ascii="宋体" w:hAnsi="宋体"/>
          <w:szCs w:val="21"/>
        </w:rPr>
      </w:pPr>
      <w:r w:rsidRPr="00A425C1">
        <w:rPr>
          <w:rFonts w:ascii="宋体" w:hAnsi="宋体" w:hint="eastAsia"/>
          <w:szCs w:val="21"/>
        </w:rPr>
        <w:lastRenderedPageBreak/>
        <w:t>第一，中国对</w:t>
      </w:r>
      <w:r w:rsidR="00E3627D" w:rsidRPr="00A425C1">
        <w:rPr>
          <w:rFonts w:ascii="宋体" w:hAnsi="宋体" w:hint="eastAsia"/>
          <w:szCs w:val="21"/>
        </w:rPr>
        <w:t>上海合作组织</w:t>
      </w:r>
      <w:r w:rsidRPr="00A425C1">
        <w:rPr>
          <w:rFonts w:ascii="宋体" w:hAnsi="宋体" w:hint="eastAsia"/>
          <w:szCs w:val="21"/>
        </w:rPr>
        <w:t>国家的投资大部分是有效率的，即中国的跨境投资导致了中国与</w:t>
      </w:r>
      <w:r w:rsidR="00E3627D" w:rsidRPr="00A425C1">
        <w:rPr>
          <w:rFonts w:ascii="宋体" w:hAnsi="宋体" w:hint="eastAsia"/>
          <w:szCs w:val="21"/>
        </w:rPr>
        <w:t>上海合作组织</w:t>
      </w:r>
      <w:r w:rsidRPr="00A425C1">
        <w:rPr>
          <w:rFonts w:ascii="宋体" w:hAnsi="宋体" w:hint="eastAsia"/>
          <w:szCs w:val="21"/>
        </w:rPr>
        <w:t>国家的经济联系加强。投资效率不高（即EFF小于1）的国家主要集中于俄罗斯，这既有</w:t>
      </w:r>
      <w:r w:rsidR="00982C0E" w:rsidRPr="00A425C1">
        <w:rPr>
          <w:rFonts w:ascii="宋体" w:hAnsi="宋体" w:hint="eastAsia"/>
          <w:szCs w:val="21"/>
        </w:rPr>
        <w:t>纯技术效率的原因也有规模效率的原因。更深入地分析表明，这主要是由于俄罗斯与中国的空间距离较远以及俄罗斯与中国贸易强度指数不高造成的。其他个别年份投资效率不高的国家包括乌兹别克斯坦和塔吉克斯坦。</w:t>
      </w:r>
    </w:p>
    <w:p w:rsidR="002C443D" w:rsidRPr="00A425C1" w:rsidRDefault="002C443D" w:rsidP="00D474D5">
      <w:pPr>
        <w:ind w:firstLine="420"/>
        <w:rPr>
          <w:rFonts w:ascii="宋体" w:hAnsi="宋体"/>
          <w:szCs w:val="21"/>
        </w:rPr>
      </w:pPr>
      <w:r w:rsidRPr="00A425C1">
        <w:rPr>
          <w:rFonts w:ascii="宋体" w:hAnsi="宋体" w:hint="eastAsia"/>
          <w:szCs w:val="21"/>
        </w:rPr>
        <w:t>第二，通过</w:t>
      </w:r>
      <w:proofErr w:type="spellStart"/>
      <w:r w:rsidRPr="00A425C1">
        <w:rPr>
          <w:rFonts w:ascii="宋体" w:hAnsi="宋体" w:hint="eastAsia"/>
          <w:szCs w:val="21"/>
        </w:rPr>
        <w:t>Malmquist</w:t>
      </w:r>
      <w:proofErr w:type="spellEnd"/>
      <w:r w:rsidRPr="00A425C1">
        <w:rPr>
          <w:rFonts w:ascii="宋体" w:hAnsi="宋体" w:hint="eastAsia"/>
          <w:szCs w:val="21"/>
        </w:rPr>
        <w:t>指数分解，得到了不同年份之间效率变化的情况，再经过各年的简单平均，得到“一带一路”战略实施前后效率指数的对比情况，这进而可用作政策评估。从实证研究结果来看，自2013年以来中国对</w:t>
      </w:r>
      <w:r w:rsidR="00E3627D" w:rsidRPr="00A425C1">
        <w:rPr>
          <w:rFonts w:ascii="宋体" w:hAnsi="宋体" w:hint="eastAsia"/>
          <w:szCs w:val="21"/>
        </w:rPr>
        <w:t>上海合作组织</w:t>
      </w:r>
      <w:r w:rsidRPr="00A425C1">
        <w:rPr>
          <w:rFonts w:ascii="宋体" w:hAnsi="宋体" w:hint="eastAsia"/>
          <w:szCs w:val="21"/>
        </w:rPr>
        <w:t>国家投资带来的经济联系度的提升超过</w:t>
      </w:r>
      <w:r w:rsidR="00FC71A2" w:rsidRPr="00A425C1">
        <w:rPr>
          <w:rFonts w:ascii="宋体" w:hAnsi="宋体" w:hint="eastAsia"/>
          <w:szCs w:val="21"/>
        </w:rPr>
        <w:t>“一带一路”</w:t>
      </w:r>
      <w:r w:rsidRPr="00A425C1">
        <w:rPr>
          <w:rFonts w:ascii="宋体" w:hAnsi="宋体" w:hint="eastAsia"/>
          <w:szCs w:val="21"/>
        </w:rPr>
        <w:t>战略实施之前，这说明政策措施是有效的</w:t>
      </w:r>
      <w:r w:rsidR="0088344B" w:rsidRPr="00A425C1">
        <w:rPr>
          <w:rFonts w:ascii="宋体" w:hAnsi="宋体" w:hint="eastAsia"/>
          <w:szCs w:val="21"/>
        </w:rPr>
        <w:t>。</w:t>
      </w:r>
    </w:p>
    <w:p w:rsidR="0088344B" w:rsidRPr="00A425C1" w:rsidRDefault="0088344B" w:rsidP="00D474D5">
      <w:pPr>
        <w:ind w:firstLine="420"/>
        <w:rPr>
          <w:rFonts w:ascii="宋体" w:hAnsi="宋体"/>
          <w:szCs w:val="21"/>
        </w:rPr>
      </w:pPr>
      <w:r w:rsidRPr="00A425C1">
        <w:rPr>
          <w:rFonts w:ascii="宋体" w:hAnsi="宋体" w:hint="eastAsia"/>
          <w:szCs w:val="21"/>
        </w:rPr>
        <w:t>第三，如果将投资效率的决定因素归为各个国家的软环境，可以通过</w:t>
      </w:r>
      <w:proofErr w:type="spellStart"/>
      <w:r w:rsidRPr="00A425C1">
        <w:rPr>
          <w:rFonts w:ascii="宋体" w:hAnsi="宋体" w:hint="eastAsia"/>
          <w:szCs w:val="21"/>
        </w:rPr>
        <w:t>Tobit</w:t>
      </w:r>
      <w:proofErr w:type="spellEnd"/>
      <w:r w:rsidRPr="00A425C1">
        <w:rPr>
          <w:rFonts w:ascii="宋体" w:hAnsi="宋体" w:hint="eastAsia"/>
          <w:szCs w:val="21"/>
        </w:rPr>
        <w:t>模型考察软环境因素对投资效率的影响。从计量结果来看，投资者保护和破产问题解决的好坏与投资效率</w:t>
      </w:r>
      <w:r w:rsidR="00FC71A2" w:rsidRPr="00A425C1">
        <w:rPr>
          <w:rFonts w:ascii="宋体" w:hAnsi="宋体" w:hint="eastAsia"/>
          <w:szCs w:val="21"/>
        </w:rPr>
        <w:t>具</w:t>
      </w:r>
      <w:r w:rsidRPr="00A425C1">
        <w:rPr>
          <w:rFonts w:ascii="宋体" w:hAnsi="宋体" w:hint="eastAsia"/>
          <w:szCs w:val="21"/>
        </w:rPr>
        <w:t>有明显的正向关系，而其他因素都不具有统计显著性。这一实证结果也得到外文文献的支持：跨境投资大都是大企业投资，而司法障碍是大企业投资面临的最大障碍。当前</w:t>
      </w:r>
      <w:r w:rsidR="00FC71A2" w:rsidRPr="00A425C1">
        <w:rPr>
          <w:rFonts w:ascii="宋体" w:hAnsi="宋体" w:hint="eastAsia"/>
          <w:szCs w:val="21"/>
        </w:rPr>
        <w:t>中</w:t>
      </w:r>
      <w:r w:rsidRPr="00A425C1">
        <w:rPr>
          <w:rFonts w:ascii="宋体" w:hAnsi="宋体" w:hint="eastAsia"/>
          <w:szCs w:val="21"/>
        </w:rPr>
        <w:t>国在对“一带一路”沿线国家进行投资过程中，须特别关注这些国家的政治风险以及由此带来的对外商投资法治环境</w:t>
      </w:r>
      <w:r w:rsidR="00FC71A2" w:rsidRPr="00A425C1">
        <w:rPr>
          <w:rFonts w:ascii="宋体" w:hAnsi="宋体" w:hint="eastAsia"/>
          <w:szCs w:val="21"/>
        </w:rPr>
        <w:t>的</w:t>
      </w:r>
      <w:r w:rsidRPr="00A425C1">
        <w:rPr>
          <w:rFonts w:ascii="宋体" w:hAnsi="宋体" w:hint="eastAsia"/>
          <w:szCs w:val="21"/>
        </w:rPr>
        <w:t>改变。</w:t>
      </w:r>
    </w:p>
    <w:p w:rsidR="0088344B" w:rsidRDefault="0088344B" w:rsidP="00D474D5">
      <w:pPr>
        <w:ind w:firstLine="420"/>
        <w:rPr>
          <w:rFonts w:ascii="宋体" w:hAnsi="宋体"/>
          <w:sz w:val="24"/>
        </w:rPr>
      </w:pPr>
      <w:r w:rsidRPr="00A425C1">
        <w:rPr>
          <w:rFonts w:ascii="宋体" w:hAnsi="宋体" w:hint="eastAsia"/>
          <w:szCs w:val="21"/>
        </w:rPr>
        <w:t>囿于数据原因，本文还存在诸多可扩展之处。如效率评价中</w:t>
      </w:r>
      <w:r w:rsidR="00DC213A" w:rsidRPr="00A425C1">
        <w:rPr>
          <w:rFonts w:ascii="宋体" w:hAnsi="宋体" w:hint="eastAsia"/>
          <w:szCs w:val="21"/>
        </w:rPr>
        <w:t>输出变量除考虑经济联系度之外也可考虑投资回报率，输入变量也可进一步扩展；在目前已知投资者保护和破产问题解决这两个司法环境是影响投资效率的重要变量的前提下，可进一步挖掘具体的原因，如破产问题中的债权人保护还是资产评估问题，这对跨境投资的实践更具指导意义。</w:t>
      </w:r>
    </w:p>
    <w:p w:rsidR="00613C24" w:rsidRDefault="00613C24" w:rsidP="00D474D5">
      <w:pPr>
        <w:ind w:firstLine="420"/>
        <w:rPr>
          <w:rFonts w:ascii="宋体" w:hAnsi="宋体"/>
          <w:sz w:val="24"/>
        </w:rPr>
      </w:pPr>
    </w:p>
    <w:p w:rsidR="00613C24" w:rsidRDefault="00613C24" w:rsidP="00D474D5">
      <w:pPr>
        <w:ind w:firstLine="420"/>
        <w:rPr>
          <w:rFonts w:ascii="宋体" w:hAnsi="宋体"/>
          <w:sz w:val="24"/>
        </w:rPr>
      </w:pPr>
    </w:p>
    <w:p w:rsidR="00613C24" w:rsidRDefault="00613C24" w:rsidP="00D474D5">
      <w:pPr>
        <w:ind w:firstLine="420"/>
        <w:rPr>
          <w:rFonts w:ascii="宋体" w:hAnsi="宋体"/>
          <w:sz w:val="24"/>
        </w:rPr>
      </w:pPr>
    </w:p>
    <w:p w:rsidR="00613C24" w:rsidRDefault="00613C24" w:rsidP="00D474D5">
      <w:pPr>
        <w:ind w:firstLine="420"/>
        <w:rPr>
          <w:rFonts w:ascii="宋体" w:hAnsi="宋体"/>
          <w:sz w:val="24"/>
        </w:rPr>
      </w:pPr>
    </w:p>
    <w:p w:rsidR="00613C24" w:rsidRPr="0041244C" w:rsidRDefault="00613C24" w:rsidP="00D474D5">
      <w:pPr>
        <w:ind w:firstLine="420"/>
        <w:rPr>
          <w:rFonts w:ascii="宋体" w:hAnsi="宋体"/>
          <w:szCs w:val="21"/>
        </w:rPr>
      </w:pPr>
      <w:r w:rsidRPr="0041244C">
        <w:rPr>
          <w:rFonts w:ascii="宋体" w:hAnsi="宋体" w:hint="eastAsia"/>
          <w:szCs w:val="21"/>
        </w:rPr>
        <w:t>作者：郭晓琼</w:t>
      </w:r>
    </w:p>
    <w:p w:rsidR="00613C24" w:rsidRPr="0041244C" w:rsidRDefault="00613C24" w:rsidP="00D474D5">
      <w:pPr>
        <w:ind w:firstLine="420"/>
        <w:rPr>
          <w:rFonts w:ascii="宋体" w:hAnsi="宋体"/>
          <w:szCs w:val="21"/>
        </w:rPr>
      </w:pPr>
      <w:r w:rsidRPr="0041244C">
        <w:rPr>
          <w:rFonts w:ascii="宋体" w:hAnsi="宋体" w:hint="eastAsia"/>
          <w:szCs w:val="21"/>
        </w:rPr>
        <w:t>通讯地址：北京市东城区张自忠路3号东院,100007</w:t>
      </w:r>
    </w:p>
    <w:p w:rsidR="00613C24" w:rsidRPr="0041244C" w:rsidRDefault="00613C24" w:rsidP="00D474D5">
      <w:pPr>
        <w:ind w:firstLine="420"/>
        <w:rPr>
          <w:rFonts w:ascii="宋体" w:hAnsi="宋体"/>
          <w:szCs w:val="21"/>
        </w:rPr>
      </w:pPr>
      <w:r w:rsidRPr="0041244C">
        <w:rPr>
          <w:rFonts w:ascii="宋体" w:hAnsi="宋体" w:hint="eastAsia"/>
          <w:szCs w:val="21"/>
        </w:rPr>
        <w:t>联系电话：15810112381</w:t>
      </w:r>
    </w:p>
    <w:p w:rsidR="00613C24" w:rsidRPr="0041244C" w:rsidRDefault="00613C24" w:rsidP="00D474D5">
      <w:pPr>
        <w:ind w:firstLine="420"/>
        <w:rPr>
          <w:rFonts w:ascii="宋体" w:hAnsi="宋体"/>
          <w:szCs w:val="21"/>
        </w:rPr>
      </w:pPr>
      <w:r w:rsidRPr="0041244C">
        <w:rPr>
          <w:rFonts w:ascii="宋体" w:hAnsi="宋体" w:hint="eastAsia"/>
          <w:szCs w:val="21"/>
        </w:rPr>
        <w:t>邮箱：guoxiaoqiong1980@163.com</w:t>
      </w:r>
    </w:p>
    <w:p w:rsidR="00D474D5" w:rsidRPr="0088344B" w:rsidRDefault="00D474D5"/>
    <w:sectPr w:rsidR="00D474D5" w:rsidRPr="0088344B" w:rsidSect="004F6131">
      <w:footnotePr>
        <w:numFmt w:val="decimalEnclosedCircleChinese"/>
        <w:numRestart w:val="eachPage"/>
      </w:footnotePr>
      <w:endnotePr>
        <w:numFmt w:val="decimal"/>
      </w:endnotePr>
      <w:type w:val="continuous"/>
      <w:pgSz w:w="11906" w:h="16838" w:code="9"/>
      <w:pgMar w:top="1440" w:right="1797" w:bottom="1440"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2A44" w:rsidRDefault="00A12A44" w:rsidP="00B87D3B">
      <w:r>
        <w:separator/>
      </w:r>
    </w:p>
  </w:endnote>
  <w:endnote w:type="continuationSeparator" w:id="0">
    <w:p w:rsidR="00A12A44" w:rsidRDefault="00A12A44" w:rsidP="00B87D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script"/>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2A44" w:rsidRDefault="00A12A44" w:rsidP="00B87D3B">
      <w:r>
        <w:separator/>
      </w:r>
    </w:p>
  </w:footnote>
  <w:footnote w:type="continuationSeparator" w:id="0">
    <w:p w:rsidR="00A12A44" w:rsidRDefault="00A12A44" w:rsidP="00B87D3B">
      <w:r>
        <w:continuationSeparator/>
      </w:r>
    </w:p>
  </w:footnote>
  <w:footnote w:id="1">
    <w:p w:rsidR="00D964C5" w:rsidRDefault="00D964C5">
      <w:pPr>
        <w:pStyle w:val="a7"/>
        <w:rPr>
          <w:rFonts w:hint="eastAsia"/>
        </w:rPr>
      </w:pPr>
      <w:r>
        <w:rPr>
          <w:rStyle w:val="a8"/>
        </w:rPr>
        <w:footnoteRef/>
      </w:r>
      <w:r>
        <w:t xml:space="preserve"> </w:t>
      </w:r>
      <w:r>
        <w:rPr>
          <w:rFonts w:hint="eastAsia"/>
        </w:rPr>
        <w:t>作者简介：郭晓琼，</w:t>
      </w:r>
      <w:r w:rsidR="00DA75AD">
        <w:rPr>
          <w:rFonts w:hint="eastAsia"/>
        </w:rPr>
        <w:t>1980</w:t>
      </w:r>
      <w:r w:rsidR="00DA75AD">
        <w:rPr>
          <w:rFonts w:hint="eastAsia"/>
        </w:rPr>
        <w:t>年生，</w:t>
      </w:r>
      <w:r w:rsidR="00DA75AD">
        <w:rPr>
          <w:rFonts w:hint="eastAsia"/>
          <w:lang w:val="ru-RU"/>
        </w:rPr>
        <w:t>中国社科院俄罗斯东欧中亚研究所副研究员，</w:t>
      </w:r>
      <w:r>
        <w:rPr>
          <w:rFonts w:hint="eastAsia"/>
        </w:rPr>
        <w:t>中俄战略协作高端合作智库理事</w:t>
      </w:r>
      <w:r w:rsidR="00DA75AD">
        <w:rPr>
          <w:rFonts w:hint="eastAsia"/>
        </w:rPr>
        <w:t>，博士</w:t>
      </w:r>
      <w:r>
        <w:rPr>
          <w:rFonts w:hint="eastAsia"/>
          <w:lang w:val="ru-RU"/>
        </w:rPr>
        <w:t>。</w:t>
      </w:r>
      <w:r w:rsidR="00DA75AD">
        <w:rPr>
          <w:rFonts w:hint="eastAsia"/>
          <w:lang w:val="ru-RU"/>
        </w:rPr>
        <w:t>蔡真，</w:t>
      </w:r>
      <w:r w:rsidR="00DA75AD">
        <w:rPr>
          <w:rFonts w:hint="eastAsia"/>
          <w:lang w:val="ru-RU"/>
        </w:rPr>
        <w:t>1982</w:t>
      </w:r>
      <w:r w:rsidR="00DA75AD">
        <w:rPr>
          <w:rFonts w:hint="eastAsia"/>
          <w:lang w:val="ru-RU"/>
        </w:rPr>
        <w:t>年生，中国社会科学院金融研究所国际金融与国际经济研究室副主任，副研究员，国家金融与发展实验室房地产金融中心主任，博士。</w:t>
      </w:r>
    </w:p>
  </w:footnote>
  <w:footnote w:id="2">
    <w:p w:rsidR="00051959" w:rsidRDefault="00051959" w:rsidP="00FB7AC5">
      <w:pPr>
        <w:pStyle w:val="a7"/>
      </w:pPr>
      <w:r>
        <w:rPr>
          <w:rStyle w:val="a8"/>
        </w:rPr>
        <w:footnoteRef/>
      </w:r>
      <w:r>
        <w:t xml:space="preserve"> </w:t>
      </w:r>
      <w:r>
        <w:rPr>
          <w:rFonts w:hint="eastAsia"/>
        </w:rPr>
        <w:t>以上数据根据世界银行发展数据库计算。</w:t>
      </w:r>
    </w:p>
  </w:footnote>
  <w:footnote w:id="3">
    <w:p w:rsidR="00051959" w:rsidRDefault="00051959" w:rsidP="00FB7AC5">
      <w:pPr>
        <w:pStyle w:val="a7"/>
      </w:pPr>
      <w:r>
        <w:rPr>
          <w:rStyle w:val="a8"/>
        </w:rPr>
        <w:footnoteRef/>
      </w:r>
      <w:r>
        <w:t xml:space="preserve"> </w:t>
      </w:r>
      <w:r>
        <w:rPr>
          <w:rFonts w:hint="eastAsia"/>
        </w:rPr>
        <w:t>Richard Freeman, "The Great Doubling: the Challenge of the New Global Labor Market",2006.</w:t>
      </w:r>
    </w:p>
    <w:p w:rsidR="00051959" w:rsidRDefault="00051959" w:rsidP="00FB7AC5">
      <w:pPr>
        <w:pStyle w:val="a7"/>
      </w:pPr>
      <w:r w:rsidRPr="00EF148F">
        <w:t>http://eml.berkeley.edu/~webfac/eichengreen/e183_sp07/great_doub.pdf</w:t>
      </w:r>
    </w:p>
  </w:footnote>
  <w:footnote w:id="4">
    <w:p w:rsidR="00051959" w:rsidRPr="00252E40" w:rsidRDefault="00051959">
      <w:pPr>
        <w:pStyle w:val="a7"/>
      </w:pPr>
      <w:r>
        <w:rPr>
          <w:rStyle w:val="a8"/>
        </w:rPr>
        <w:footnoteRef/>
      </w:r>
      <w:r>
        <w:rPr>
          <w:rFonts w:hint="eastAsia"/>
        </w:rPr>
        <w:t xml:space="preserve"> </w:t>
      </w:r>
      <w:r>
        <w:rPr>
          <w:rFonts w:hint="eastAsia"/>
        </w:rPr>
        <w:t>卢福财、胡平波，《全球价值链网络下中国企业低端锁定的博弈分析》，《中国工业经济》，</w:t>
      </w:r>
      <w:r>
        <w:rPr>
          <w:rFonts w:hint="eastAsia"/>
        </w:rPr>
        <w:t>2008</w:t>
      </w:r>
      <w:r>
        <w:rPr>
          <w:rFonts w:hint="eastAsia"/>
        </w:rPr>
        <w:t>年第</w:t>
      </w:r>
      <w:r>
        <w:rPr>
          <w:rFonts w:hint="eastAsia"/>
        </w:rPr>
        <w:t>10</w:t>
      </w:r>
      <w:r>
        <w:rPr>
          <w:rFonts w:hint="eastAsia"/>
        </w:rPr>
        <w:t>期。该文通过一个博弈模型说明跨国公司对中国企业的价值升级路径会选择封锁，而中国企业的突破则很难。此外，该文还列举了一些跨国公司技术垄断的生动案例。</w:t>
      </w:r>
    </w:p>
  </w:footnote>
  <w:footnote w:id="5">
    <w:p w:rsidR="00051959" w:rsidRPr="003E2FBF" w:rsidRDefault="00051959" w:rsidP="00884C8D">
      <w:pPr>
        <w:pStyle w:val="a7"/>
      </w:pPr>
      <w:r>
        <w:rPr>
          <w:rStyle w:val="a8"/>
        </w:rPr>
        <w:footnoteRef/>
      </w:r>
      <w:r>
        <w:t xml:space="preserve"> </w:t>
      </w:r>
      <w:r>
        <w:rPr>
          <w:rFonts w:hint="eastAsia"/>
        </w:rPr>
        <w:t>劳尔·普雷维什于上世纪</w:t>
      </w:r>
      <w:r>
        <w:rPr>
          <w:rFonts w:hint="eastAsia"/>
        </w:rPr>
        <w:t>40</w:t>
      </w:r>
      <w:r>
        <w:rPr>
          <w:rFonts w:hint="eastAsia"/>
        </w:rPr>
        <w:t>年代末首次提出“中心</w:t>
      </w:r>
      <w:r>
        <w:rPr>
          <w:rFonts w:hint="eastAsia"/>
        </w:rPr>
        <w:t>-</w:t>
      </w:r>
      <w:r>
        <w:rPr>
          <w:rFonts w:hint="eastAsia"/>
        </w:rPr>
        <w:t>外围”模式，相关理论参考：劳尔·普雷维什，《外围资本主义》，商务印书馆，</w:t>
      </w:r>
      <w:r>
        <w:rPr>
          <w:rFonts w:hint="eastAsia"/>
        </w:rPr>
        <w:t>2015</w:t>
      </w:r>
      <w:r>
        <w:rPr>
          <w:rFonts w:hint="eastAsia"/>
        </w:rPr>
        <w:t>年版。</w:t>
      </w:r>
    </w:p>
  </w:footnote>
  <w:footnote w:id="6">
    <w:p w:rsidR="00051959" w:rsidRPr="00B91FE1" w:rsidRDefault="00051959">
      <w:pPr>
        <w:pStyle w:val="a7"/>
      </w:pPr>
      <w:r>
        <w:rPr>
          <w:rStyle w:val="a8"/>
        </w:rPr>
        <w:footnoteRef/>
      </w:r>
      <w:r>
        <w:t xml:space="preserve"> </w:t>
      </w:r>
      <w:r>
        <w:rPr>
          <w:rFonts w:hint="eastAsia"/>
        </w:rPr>
        <w:t>王跃生，《世界经济结构重建与全球经济增长》，《中国高校社会科学》，</w:t>
      </w:r>
      <w:r>
        <w:rPr>
          <w:rFonts w:hint="eastAsia"/>
        </w:rPr>
        <w:t>2017</w:t>
      </w:r>
      <w:r>
        <w:rPr>
          <w:rFonts w:hint="eastAsia"/>
        </w:rPr>
        <w:t>年第</w:t>
      </w:r>
      <w:r>
        <w:rPr>
          <w:rFonts w:hint="eastAsia"/>
        </w:rPr>
        <w:t>3</w:t>
      </w:r>
      <w:r>
        <w:rPr>
          <w:rFonts w:hint="eastAsia"/>
        </w:rPr>
        <w:t>期。</w:t>
      </w:r>
    </w:p>
  </w:footnote>
  <w:footnote w:id="7">
    <w:p w:rsidR="00051959" w:rsidRDefault="00051959" w:rsidP="00A21E00">
      <w:pPr>
        <w:pStyle w:val="a7"/>
      </w:pPr>
      <w:r>
        <w:rPr>
          <w:rStyle w:val="a8"/>
        </w:rPr>
        <w:footnoteRef/>
      </w:r>
      <w:r>
        <w:t xml:space="preserve"> </w:t>
      </w:r>
      <w:r>
        <w:rPr>
          <w:rFonts w:hint="eastAsia"/>
        </w:rPr>
        <w:t>实际上这种失衡在金融层面还有很多表现，如改变了教科书关于外汇储备</w:t>
      </w:r>
      <w:r>
        <w:rPr>
          <w:rFonts w:hint="eastAsia"/>
        </w:rPr>
        <w:t>3</w:t>
      </w:r>
      <w:r>
        <w:rPr>
          <w:rFonts w:hint="eastAsia"/>
        </w:rPr>
        <w:t>个月的理论，主权财富基金的诞生等。</w:t>
      </w:r>
    </w:p>
  </w:footnote>
  <w:footnote w:id="8">
    <w:p w:rsidR="00051959" w:rsidRPr="0060243E" w:rsidRDefault="00051959">
      <w:pPr>
        <w:pStyle w:val="a7"/>
      </w:pPr>
      <w:r>
        <w:rPr>
          <w:rStyle w:val="a8"/>
        </w:rPr>
        <w:footnoteRef/>
      </w:r>
      <w:r>
        <w:t xml:space="preserve"> </w:t>
      </w:r>
      <w:r>
        <w:rPr>
          <w:rFonts w:hint="eastAsia"/>
        </w:rPr>
        <w:t>全文参见商务部网站，</w:t>
      </w:r>
      <w:r w:rsidRPr="0060243E">
        <w:t>http://zhs.mofcom.gov.cn/article/xxfb/201503/20150300926644.shtml</w:t>
      </w:r>
      <w:r>
        <w:rPr>
          <w:rFonts w:hint="eastAsia"/>
        </w:rPr>
        <w:t>，最后访问日期</w:t>
      </w:r>
      <w:r>
        <w:rPr>
          <w:rFonts w:hint="eastAsia"/>
        </w:rPr>
        <w:t>2018</w:t>
      </w:r>
      <w:r>
        <w:rPr>
          <w:rFonts w:hint="eastAsia"/>
        </w:rPr>
        <w:t>年</w:t>
      </w:r>
      <w:r>
        <w:rPr>
          <w:rFonts w:hint="eastAsia"/>
        </w:rPr>
        <w:t>9</w:t>
      </w:r>
      <w:r>
        <w:rPr>
          <w:rFonts w:hint="eastAsia"/>
        </w:rPr>
        <w:t>月</w:t>
      </w:r>
      <w:r>
        <w:rPr>
          <w:rFonts w:hint="eastAsia"/>
        </w:rPr>
        <w:t>18</w:t>
      </w:r>
      <w:r>
        <w:rPr>
          <w:rFonts w:hint="eastAsia"/>
        </w:rPr>
        <w:t>日。</w:t>
      </w:r>
    </w:p>
  </w:footnote>
  <w:footnote w:id="9">
    <w:p w:rsidR="00051959" w:rsidRPr="0098275A" w:rsidRDefault="00051959">
      <w:pPr>
        <w:pStyle w:val="a7"/>
        <w:rPr>
          <w:rFonts w:hint="eastAsia"/>
        </w:rPr>
      </w:pPr>
      <w:r>
        <w:rPr>
          <w:rStyle w:val="a8"/>
        </w:rPr>
        <w:footnoteRef/>
      </w:r>
      <w:r>
        <w:t xml:space="preserve"> </w:t>
      </w:r>
      <w:r>
        <w:rPr>
          <w:rFonts w:hint="eastAsia"/>
        </w:rPr>
        <w:t>孙壮志，《“一带一路”合作空间拓展的着力点探究》，《</w:t>
      </w:r>
      <w:r w:rsidRPr="0098275A">
        <w:rPr>
          <w:rFonts w:hint="eastAsia"/>
        </w:rPr>
        <w:t>新疆师范大学学报（哲学社会科学版）</w:t>
      </w:r>
      <w:r>
        <w:rPr>
          <w:rFonts w:hint="eastAsia"/>
        </w:rPr>
        <w:t>》，</w:t>
      </w:r>
      <w:r>
        <w:rPr>
          <w:rFonts w:hint="eastAsia"/>
        </w:rPr>
        <w:t>2018</w:t>
      </w:r>
      <w:r>
        <w:rPr>
          <w:rFonts w:hint="eastAsia"/>
        </w:rPr>
        <w:t>年第</w:t>
      </w:r>
      <w:r>
        <w:rPr>
          <w:rFonts w:hint="eastAsia"/>
        </w:rPr>
        <w:t>1</w:t>
      </w:r>
      <w:r>
        <w:rPr>
          <w:rFonts w:hint="eastAsia"/>
        </w:rPr>
        <w:t>期。</w:t>
      </w:r>
    </w:p>
  </w:footnote>
  <w:footnote w:id="10">
    <w:p w:rsidR="00051959" w:rsidRPr="009549F7" w:rsidRDefault="00051959">
      <w:pPr>
        <w:pStyle w:val="a7"/>
      </w:pPr>
      <w:r>
        <w:rPr>
          <w:rStyle w:val="a8"/>
        </w:rPr>
        <w:footnoteRef/>
      </w:r>
      <w:r>
        <w:t xml:space="preserve"> </w:t>
      </w:r>
      <w:r>
        <w:rPr>
          <w:rFonts w:hint="eastAsia"/>
        </w:rPr>
        <w:t>M.J. Farrell, "The measurement of production efficiency",</w:t>
      </w:r>
      <w:r w:rsidRPr="005853E0">
        <w:rPr>
          <w:rFonts w:hint="eastAsia"/>
          <w:i/>
        </w:rPr>
        <w:t xml:space="preserve"> Journal of Royal Statistical Society</w:t>
      </w:r>
      <w:r>
        <w:rPr>
          <w:rFonts w:hint="eastAsia"/>
        </w:rPr>
        <w:t>, Series A(General), 1957, Vol. 120, No.3, pp.253-290.</w:t>
      </w:r>
    </w:p>
  </w:footnote>
  <w:footnote w:id="11">
    <w:p w:rsidR="00051959" w:rsidRDefault="00051959">
      <w:pPr>
        <w:pStyle w:val="a7"/>
      </w:pPr>
      <w:r>
        <w:rPr>
          <w:rStyle w:val="a8"/>
        </w:rPr>
        <w:footnoteRef/>
      </w:r>
      <w:r>
        <w:t xml:space="preserve"> </w:t>
      </w:r>
      <w:r>
        <w:rPr>
          <w:rFonts w:hint="eastAsia"/>
        </w:rPr>
        <w:t>这里并没有考虑港口基础设施或班轮运输对经济联系的影响。因为乌兹别克斯坦是一个双重内陆国家，没有港口和班轮运输相关数据，各国数据就不具可比性，所以不予考虑。</w:t>
      </w:r>
    </w:p>
  </w:footnote>
  <w:footnote w:id="12">
    <w:p w:rsidR="00051959" w:rsidRDefault="00051959" w:rsidP="004C3A46">
      <w:pPr>
        <w:pStyle w:val="a7"/>
      </w:pPr>
      <w:r>
        <w:rPr>
          <w:rStyle w:val="a8"/>
        </w:rPr>
        <w:footnoteRef/>
      </w:r>
      <w:r>
        <w:rPr>
          <w:rFonts w:hint="eastAsia"/>
        </w:rPr>
        <w:t xml:space="preserve"> </w:t>
      </w:r>
      <w:r>
        <w:rPr>
          <w:rFonts w:hint="eastAsia"/>
        </w:rPr>
        <w:t>空间经济联系度的计算参考了如下文献：郭连成、周瑜、马斌，《中国东北地区与俄远东地区交通运输网络及城市群空间经济联系》，《东北亚论坛》，</w:t>
      </w:r>
      <w:r>
        <w:rPr>
          <w:rFonts w:hint="eastAsia"/>
        </w:rPr>
        <w:t>2017</w:t>
      </w:r>
      <w:r>
        <w:rPr>
          <w:rFonts w:hint="eastAsia"/>
        </w:rPr>
        <w:t>年第</w:t>
      </w:r>
      <w:r>
        <w:rPr>
          <w:rFonts w:hint="eastAsia"/>
        </w:rPr>
        <w:t>3</w:t>
      </w:r>
      <w:r>
        <w:rPr>
          <w:rFonts w:hint="eastAsia"/>
        </w:rPr>
        <w:t>期。</w:t>
      </w:r>
    </w:p>
  </w:footnote>
  <w:footnote w:id="13">
    <w:p w:rsidR="00051959" w:rsidRDefault="00051959">
      <w:pPr>
        <w:pStyle w:val="a7"/>
      </w:pPr>
      <w:r>
        <w:rPr>
          <w:rStyle w:val="a8"/>
        </w:rPr>
        <w:footnoteRef/>
      </w:r>
      <w:r>
        <w:t xml:space="preserve"> </w:t>
      </w:r>
      <w:r>
        <w:rPr>
          <w:rFonts w:hint="eastAsia"/>
        </w:rPr>
        <w:t>得分越高表示营商环境越好。具体得分的计算方法，可参见“</w:t>
      </w:r>
      <w:r>
        <w:rPr>
          <w:rFonts w:hint="eastAsia"/>
        </w:rPr>
        <w:t>Doing business 2017:Equal opportunity for All</w:t>
      </w:r>
      <w:r>
        <w:rPr>
          <w:rFonts w:hint="eastAsia"/>
        </w:rPr>
        <w:t>”，</w:t>
      </w:r>
      <w:r>
        <w:rPr>
          <w:rFonts w:hint="eastAsia"/>
        </w:rPr>
        <w:t>P164-169. A World Bank Group Flagship Report.</w:t>
      </w:r>
    </w:p>
  </w:footnote>
  <w:footnote w:id="14">
    <w:p w:rsidR="00051959" w:rsidRPr="00731DD2" w:rsidRDefault="00051959">
      <w:pPr>
        <w:pStyle w:val="a7"/>
      </w:pPr>
      <w:r>
        <w:rPr>
          <w:rStyle w:val="a8"/>
        </w:rPr>
        <w:footnoteRef/>
      </w:r>
      <w:r>
        <w:t xml:space="preserve"> </w:t>
      </w:r>
      <w:r>
        <w:rPr>
          <w:rFonts w:hint="eastAsia"/>
        </w:rPr>
        <w:t xml:space="preserve">Fare, Rolf, Shawna </w:t>
      </w:r>
      <w:proofErr w:type="spellStart"/>
      <w:r>
        <w:rPr>
          <w:rFonts w:hint="eastAsia"/>
        </w:rPr>
        <w:t>Grosskoft</w:t>
      </w:r>
      <w:proofErr w:type="spellEnd"/>
      <w:r>
        <w:rPr>
          <w:rFonts w:hint="eastAsia"/>
        </w:rPr>
        <w:t xml:space="preserve">, Mary Norris and </w:t>
      </w:r>
      <w:proofErr w:type="spellStart"/>
      <w:r>
        <w:rPr>
          <w:rFonts w:hint="eastAsia"/>
        </w:rPr>
        <w:t>Zhongyang</w:t>
      </w:r>
      <w:proofErr w:type="spellEnd"/>
      <w:r>
        <w:rPr>
          <w:rFonts w:hint="eastAsia"/>
        </w:rPr>
        <w:t xml:space="preserve"> Zhang, "</w:t>
      </w:r>
      <w:r w:rsidRPr="00731DD2">
        <w:rPr>
          <w:rFonts w:hint="eastAsia"/>
        </w:rPr>
        <w:t xml:space="preserve"> </w:t>
      </w:r>
      <w:r>
        <w:rPr>
          <w:rFonts w:hint="eastAsia"/>
        </w:rPr>
        <w:t xml:space="preserve">Productive Growth, Technical Progress, and Efficiency Change in </w:t>
      </w:r>
      <w:proofErr w:type="spellStart"/>
      <w:r>
        <w:rPr>
          <w:rFonts w:hint="eastAsia"/>
        </w:rPr>
        <w:t>Industrualized</w:t>
      </w:r>
      <w:proofErr w:type="spellEnd"/>
      <w:r>
        <w:rPr>
          <w:rFonts w:hint="eastAsia"/>
        </w:rPr>
        <w:t xml:space="preserve"> Countries", </w:t>
      </w:r>
      <w:r w:rsidRPr="00731DD2">
        <w:rPr>
          <w:rFonts w:hint="eastAsia"/>
          <w:i/>
        </w:rPr>
        <w:t>American Economic Review</w:t>
      </w:r>
      <w:r>
        <w:rPr>
          <w:rFonts w:hint="eastAsia"/>
        </w:rPr>
        <w:t>, 1994, Vol. 84(1), pp.66-83.</w:t>
      </w:r>
    </w:p>
  </w:footnote>
  <w:footnote w:id="15">
    <w:p w:rsidR="00051959" w:rsidRPr="005853E0" w:rsidRDefault="00051959">
      <w:pPr>
        <w:pStyle w:val="a7"/>
      </w:pPr>
      <w:r>
        <w:rPr>
          <w:rStyle w:val="a8"/>
        </w:rPr>
        <w:footnoteRef/>
      </w:r>
      <w:r>
        <w:t xml:space="preserve"> </w:t>
      </w:r>
      <w:r>
        <w:rPr>
          <w:rFonts w:hint="eastAsia"/>
        </w:rPr>
        <w:t xml:space="preserve">Fare, Rolf, Shawna </w:t>
      </w:r>
      <w:proofErr w:type="spellStart"/>
      <w:r>
        <w:rPr>
          <w:rFonts w:hint="eastAsia"/>
        </w:rPr>
        <w:t>Grosskoft</w:t>
      </w:r>
      <w:proofErr w:type="spellEnd"/>
      <w:r>
        <w:rPr>
          <w:rFonts w:hint="eastAsia"/>
        </w:rPr>
        <w:t xml:space="preserve">, Mary Norris, "Productive Growth, Technical Progress, and Efficiency Change in </w:t>
      </w:r>
      <w:proofErr w:type="spellStart"/>
      <w:r>
        <w:rPr>
          <w:rFonts w:hint="eastAsia"/>
        </w:rPr>
        <w:t>Industrualized</w:t>
      </w:r>
      <w:proofErr w:type="spellEnd"/>
      <w:r>
        <w:rPr>
          <w:rFonts w:hint="eastAsia"/>
        </w:rPr>
        <w:t xml:space="preserve"> Countries: Reply", </w:t>
      </w:r>
      <w:r w:rsidRPr="00731DD2">
        <w:rPr>
          <w:rFonts w:hint="eastAsia"/>
          <w:i/>
        </w:rPr>
        <w:t>American Economic Review</w:t>
      </w:r>
      <w:r>
        <w:rPr>
          <w:rFonts w:hint="eastAsia"/>
        </w:rPr>
        <w:t>, 1997, Vol. 87(5), pp.1040-1044.</w:t>
      </w:r>
    </w:p>
  </w:footnote>
  <w:footnote w:id="16">
    <w:p w:rsidR="00051959" w:rsidRPr="005853E0" w:rsidRDefault="00051959">
      <w:pPr>
        <w:pStyle w:val="a7"/>
      </w:pPr>
      <w:r>
        <w:rPr>
          <w:rStyle w:val="a8"/>
        </w:rPr>
        <w:footnoteRef/>
      </w:r>
      <w:r>
        <w:t xml:space="preserve"> </w:t>
      </w:r>
      <w:proofErr w:type="spellStart"/>
      <w:r w:rsidRPr="009549F7">
        <w:rPr>
          <w:color w:val="000000"/>
        </w:rPr>
        <w:t>Weder</w:t>
      </w:r>
      <w:proofErr w:type="spellEnd"/>
      <w:r w:rsidRPr="009549F7">
        <w:rPr>
          <w:color w:val="000000"/>
        </w:rPr>
        <w:t xml:space="preserve"> B</w:t>
      </w:r>
      <w:r w:rsidRPr="009549F7">
        <w:rPr>
          <w:rFonts w:hint="eastAsia"/>
          <w:color w:val="000000"/>
        </w:rPr>
        <w:t xml:space="preserve">. and M. </w:t>
      </w:r>
      <w:proofErr w:type="spellStart"/>
      <w:r w:rsidRPr="009549F7">
        <w:rPr>
          <w:color w:val="000000"/>
        </w:rPr>
        <w:t>Schiffer</w:t>
      </w:r>
      <w:proofErr w:type="spellEnd"/>
      <w:r w:rsidRPr="009549F7">
        <w:rPr>
          <w:rFonts w:hint="eastAsia"/>
          <w:color w:val="000000"/>
        </w:rPr>
        <w:t xml:space="preserve">. </w:t>
      </w:r>
      <w:r>
        <w:rPr>
          <w:rFonts w:hint="eastAsia"/>
          <w:color w:val="000000"/>
        </w:rPr>
        <w:t>"</w:t>
      </w:r>
      <w:r w:rsidRPr="009549F7">
        <w:rPr>
          <w:color w:val="000000"/>
        </w:rPr>
        <w:t>Firm Size and the Business Environment: Worldwide Survey Results</w:t>
      </w:r>
      <w:r>
        <w:rPr>
          <w:rFonts w:hint="eastAsia"/>
          <w:color w:val="000000"/>
        </w:rPr>
        <w:t>",</w:t>
      </w:r>
      <w:r w:rsidRPr="009549F7">
        <w:rPr>
          <w:rFonts w:hint="eastAsia"/>
          <w:color w:val="000000"/>
        </w:rPr>
        <w:t xml:space="preserve"> </w:t>
      </w:r>
      <w:r w:rsidRPr="009549F7">
        <w:rPr>
          <w:i/>
          <w:color w:val="000000"/>
        </w:rPr>
        <w:t xml:space="preserve">IFC </w:t>
      </w:r>
      <w:r w:rsidRPr="009549F7">
        <w:rPr>
          <w:rFonts w:hint="eastAsia"/>
          <w:i/>
          <w:color w:val="000000"/>
        </w:rPr>
        <w:t>D</w:t>
      </w:r>
      <w:r w:rsidRPr="009549F7">
        <w:rPr>
          <w:i/>
          <w:color w:val="000000"/>
        </w:rPr>
        <w:t xml:space="preserve">iscussion </w:t>
      </w:r>
      <w:r w:rsidRPr="009549F7">
        <w:rPr>
          <w:rFonts w:hint="eastAsia"/>
          <w:i/>
          <w:color w:val="000000"/>
        </w:rPr>
        <w:t>P</w:t>
      </w:r>
      <w:r w:rsidRPr="009549F7">
        <w:rPr>
          <w:i/>
          <w:color w:val="000000"/>
        </w:rPr>
        <w:t xml:space="preserve">aper </w:t>
      </w:r>
      <w:r>
        <w:rPr>
          <w:rFonts w:hint="eastAsia"/>
          <w:i/>
          <w:color w:val="000000"/>
        </w:rPr>
        <w:t>2001,</w:t>
      </w:r>
      <w:r w:rsidRPr="009549F7">
        <w:rPr>
          <w:rFonts w:hint="eastAsia"/>
          <w:i/>
          <w:color w:val="000000"/>
        </w:rPr>
        <w:t>N</w:t>
      </w:r>
      <w:r w:rsidRPr="009549F7">
        <w:rPr>
          <w:i/>
          <w:color w:val="000000"/>
        </w:rPr>
        <w:t>o.43</w:t>
      </w:r>
      <w:r w:rsidRPr="009549F7">
        <w:rPr>
          <w:rFonts w:hint="eastAsia"/>
          <w:color w:val="000000"/>
        </w:rPr>
        <w:t>.</w:t>
      </w:r>
      <w:r w:rsidRPr="009549F7">
        <w:rPr>
          <w:color w:val="000000"/>
        </w:rPr>
        <w:t xml:space="preserve"> The World</w:t>
      </w:r>
      <w:r w:rsidRPr="009549F7">
        <w:rPr>
          <w:rFonts w:hint="eastAsia"/>
          <w:color w:val="000000"/>
        </w:rPr>
        <w:t xml:space="preserve"> Bank </w:t>
      </w:r>
      <w:r w:rsidRPr="009549F7">
        <w:rPr>
          <w:color w:val="000000"/>
        </w:rPr>
        <w:t>Washington, D.C</w:t>
      </w:r>
      <w:r w:rsidRPr="009549F7">
        <w:rPr>
          <w:rFonts w:hint="eastAsia"/>
          <w:color w:val="000000"/>
        </w:rPr>
        <w:t>., USA</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42"/>
  </w:hdrShapeDefaults>
  <w:footnotePr>
    <w:numFmt w:val="decimalEnclosedCircleChinese"/>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
  <w:rsids>
    <w:rsidRoot w:val="005857EA"/>
    <w:rsid w:val="00000AFD"/>
    <w:rsid w:val="00006F55"/>
    <w:rsid w:val="0002141C"/>
    <w:rsid w:val="00047464"/>
    <w:rsid w:val="00051959"/>
    <w:rsid w:val="00077A89"/>
    <w:rsid w:val="0008245A"/>
    <w:rsid w:val="00092455"/>
    <w:rsid w:val="000969C1"/>
    <w:rsid w:val="000B79B2"/>
    <w:rsid w:val="000C6975"/>
    <w:rsid w:val="000C6E7D"/>
    <w:rsid w:val="000D4082"/>
    <w:rsid w:val="00102704"/>
    <w:rsid w:val="00107CFD"/>
    <w:rsid w:val="001266B0"/>
    <w:rsid w:val="001350AE"/>
    <w:rsid w:val="0014239B"/>
    <w:rsid w:val="0016650D"/>
    <w:rsid w:val="00181397"/>
    <w:rsid w:val="00196A86"/>
    <w:rsid w:val="001B54F0"/>
    <w:rsid w:val="001D2030"/>
    <w:rsid w:val="001E04B6"/>
    <w:rsid w:val="001E54C4"/>
    <w:rsid w:val="001E7298"/>
    <w:rsid w:val="001F1048"/>
    <w:rsid w:val="002003D1"/>
    <w:rsid w:val="0020051E"/>
    <w:rsid w:val="00201BF0"/>
    <w:rsid w:val="00202FED"/>
    <w:rsid w:val="0020534A"/>
    <w:rsid w:val="00211826"/>
    <w:rsid w:val="00223414"/>
    <w:rsid w:val="002421F7"/>
    <w:rsid w:val="00244AFC"/>
    <w:rsid w:val="00252E40"/>
    <w:rsid w:val="00255310"/>
    <w:rsid w:val="00273012"/>
    <w:rsid w:val="00273A09"/>
    <w:rsid w:val="00274958"/>
    <w:rsid w:val="002874A4"/>
    <w:rsid w:val="002A2FF6"/>
    <w:rsid w:val="002B4CC3"/>
    <w:rsid w:val="002C443D"/>
    <w:rsid w:val="002D67D0"/>
    <w:rsid w:val="002D6BE3"/>
    <w:rsid w:val="002F4F45"/>
    <w:rsid w:val="002F5AFC"/>
    <w:rsid w:val="002F75CF"/>
    <w:rsid w:val="00314C81"/>
    <w:rsid w:val="00326439"/>
    <w:rsid w:val="0033662F"/>
    <w:rsid w:val="00345A6D"/>
    <w:rsid w:val="00355557"/>
    <w:rsid w:val="00357F36"/>
    <w:rsid w:val="00363DAE"/>
    <w:rsid w:val="00384527"/>
    <w:rsid w:val="003A39C5"/>
    <w:rsid w:val="003E2FBF"/>
    <w:rsid w:val="003F5F02"/>
    <w:rsid w:val="00407A90"/>
    <w:rsid w:val="00411960"/>
    <w:rsid w:val="0041244C"/>
    <w:rsid w:val="004166F0"/>
    <w:rsid w:val="00417F8C"/>
    <w:rsid w:val="004253E2"/>
    <w:rsid w:val="004410C8"/>
    <w:rsid w:val="00443F69"/>
    <w:rsid w:val="00446F2A"/>
    <w:rsid w:val="004541DD"/>
    <w:rsid w:val="00462966"/>
    <w:rsid w:val="004640BE"/>
    <w:rsid w:val="0047151A"/>
    <w:rsid w:val="0047580B"/>
    <w:rsid w:val="00480374"/>
    <w:rsid w:val="0048369F"/>
    <w:rsid w:val="00484BEF"/>
    <w:rsid w:val="00490273"/>
    <w:rsid w:val="004B18B5"/>
    <w:rsid w:val="004B21A6"/>
    <w:rsid w:val="004C3A46"/>
    <w:rsid w:val="004F6131"/>
    <w:rsid w:val="00512250"/>
    <w:rsid w:val="00525C7A"/>
    <w:rsid w:val="00527E2B"/>
    <w:rsid w:val="00554997"/>
    <w:rsid w:val="0056474F"/>
    <w:rsid w:val="00567616"/>
    <w:rsid w:val="005721B0"/>
    <w:rsid w:val="005846F3"/>
    <w:rsid w:val="005853E0"/>
    <w:rsid w:val="005857EA"/>
    <w:rsid w:val="0059285D"/>
    <w:rsid w:val="005B18D7"/>
    <w:rsid w:val="005C1FC0"/>
    <w:rsid w:val="005C3202"/>
    <w:rsid w:val="005C5229"/>
    <w:rsid w:val="005E5419"/>
    <w:rsid w:val="005F5B6D"/>
    <w:rsid w:val="0060243E"/>
    <w:rsid w:val="00613C24"/>
    <w:rsid w:val="00634E01"/>
    <w:rsid w:val="00640CAB"/>
    <w:rsid w:val="00644CBD"/>
    <w:rsid w:val="00645953"/>
    <w:rsid w:val="00651F25"/>
    <w:rsid w:val="006521A1"/>
    <w:rsid w:val="00690E44"/>
    <w:rsid w:val="00695036"/>
    <w:rsid w:val="0069786F"/>
    <w:rsid w:val="006A6CAA"/>
    <w:rsid w:val="00731DD2"/>
    <w:rsid w:val="007332D3"/>
    <w:rsid w:val="00745D18"/>
    <w:rsid w:val="00746BBB"/>
    <w:rsid w:val="00746C86"/>
    <w:rsid w:val="00765221"/>
    <w:rsid w:val="00775106"/>
    <w:rsid w:val="00776F65"/>
    <w:rsid w:val="00781506"/>
    <w:rsid w:val="00791409"/>
    <w:rsid w:val="007A4479"/>
    <w:rsid w:val="007C1AF1"/>
    <w:rsid w:val="007C242E"/>
    <w:rsid w:val="007C339B"/>
    <w:rsid w:val="007C35C5"/>
    <w:rsid w:val="007C46FA"/>
    <w:rsid w:val="007E7B0C"/>
    <w:rsid w:val="007F13B8"/>
    <w:rsid w:val="007F5C42"/>
    <w:rsid w:val="0080160A"/>
    <w:rsid w:val="008359C5"/>
    <w:rsid w:val="008368C8"/>
    <w:rsid w:val="0088344B"/>
    <w:rsid w:val="00884C8D"/>
    <w:rsid w:val="00894BD8"/>
    <w:rsid w:val="008B1E06"/>
    <w:rsid w:val="008B357D"/>
    <w:rsid w:val="008B46FB"/>
    <w:rsid w:val="008C18AF"/>
    <w:rsid w:val="008C7377"/>
    <w:rsid w:val="008C7534"/>
    <w:rsid w:val="008F5CA2"/>
    <w:rsid w:val="00901B58"/>
    <w:rsid w:val="009028D3"/>
    <w:rsid w:val="0090732E"/>
    <w:rsid w:val="00907811"/>
    <w:rsid w:val="00910AF6"/>
    <w:rsid w:val="009133C5"/>
    <w:rsid w:val="00952865"/>
    <w:rsid w:val="009549F7"/>
    <w:rsid w:val="00965C86"/>
    <w:rsid w:val="00972511"/>
    <w:rsid w:val="00975F5C"/>
    <w:rsid w:val="0098275A"/>
    <w:rsid w:val="00982C0E"/>
    <w:rsid w:val="009958CB"/>
    <w:rsid w:val="009A46D2"/>
    <w:rsid w:val="009B2504"/>
    <w:rsid w:val="009C09D8"/>
    <w:rsid w:val="009C2B37"/>
    <w:rsid w:val="009F312D"/>
    <w:rsid w:val="00A12A44"/>
    <w:rsid w:val="00A20747"/>
    <w:rsid w:val="00A21E00"/>
    <w:rsid w:val="00A23449"/>
    <w:rsid w:val="00A3606C"/>
    <w:rsid w:val="00A425C1"/>
    <w:rsid w:val="00A45259"/>
    <w:rsid w:val="00A53589"/>
    <w:rsid w:val="00A853C5"/>
    <w:rsid w:val="00A94DCF"/>
    <w:rsid w:val="00AD350A"/>
    <w:rsid w:val="00AE61FF"/>
    <w:rsid w:val="00AF4DC9"/>
    <w:rsid w:val="00B11FE3"/>
    <w:rsid w:val="00B2317C"/>
    <w:rsid w:val="00B5212C"/>
    <w:rsid w:val="00B75826"/>
    <w:rsid w:val="00B826B5"/>
    <w:rsid w:val="00B87D3B"/>
    <w:rsid w:val="00B91FE1"/>
    <w:rsid w:val="00B95D69"/>
    <w:rsid w:val="00BA6EA2"/>
    <w:rsid w:val="00BC4557"/>
    <w:rsid w:val="00BD5B4A"/>
    <w:rsid w:val="00BE37D6"/>
    <w:rsid w:val="00BF30FC"/>
    <w:rsid w:val="00C25922"/>
    <w:rsid w:val="00C468E2"/>
    <w:rsid w:val="00C55F04"/>
    <w:rsid w:val="00C636C7"/>
    <w:rsid w:val="00C65C97"/>
    <w:rsid w:val="00C7432B"/>
    <w:rsid w:val="00C749AC"/>
    <w:rsid w:val="00C8177F"/>
    <w:rsid w:val="00C925D3"/>
    <w:rsid w:val="00CA3A71"/>
    <w:rsid w:val="00CC1942"/>
    <w:rsid w:val="00CE6B12"/>
    <w:rsid w:val="00D012A6"/>
    <w:rsid w:val="00D0657B"/>
    <w:rsid w:val="00D270DE"/>
    <w:rsid w:val="00D40448"/>
    <w:rsid w:val="00D44FEE"/>
    <w:rsid w:val="00D474D5"/>
    <w:rsid w:val="00D60608"/>
    <w:rsid w:val="00D75AFA"/>
    <w:rsid w:val="00D80DAA"/>
    <w:rsid w:val="00D878CD"/>
    <w:rsid w:val="00D964C5"/>
    <w:rsid w:val="00DA0343"/>
    <w:rsid w:val="00DA1200"/>
    <w:rsid w:val="00DA75AD"/>
    <w:rsid w:val="00DB7067"/>
    <w:rsid w:val="00DC213A"/>
    <w:rsid w:val="00E3627D"/>
    <w:rsid w:val="00E43C5C"/>
    <w:rsid w:val="00E644AD"/>
    <w:rsid w:val="00E71EFB"/>
    <w:rsid w:val="00E73AC3"/>
    <w:rsid w:val="00E86B0A"/>
    <w:rsid w:val="00EA230E"/>
    <w:rsid w:val="00EA29EC"/>
    <w:rsid w:val="00EA7DD5"/>
    <w:rsid w:val="00EB4E95"/>
    <w:rsid w:val="00ED1DF7"/>
    <w:rsid w:val="00ED303A"/>
    <w:rsid w:val="00EF0CC6"/>
    <w:rsid w:val="00EF148F"/>
    <w:rsid w:val="00EF7BAD"/>
    <w:rsid w:val="00F0587D"/>
    <w:rsid w:val="00F1045B"/>
    <w:rsid w:val="00F16B8D"/>
    <w:rsid w:val="00F37084"/>
    <w:rsid w:val="00F372C1"/>
    <w:rsid w:val="00F4009F"/>
    <w:rsid w:val="00F41790"/>
    <w:rsid w:val="00F47848"/>
    <w:rsid w:val="00F530BC"/>
    <w:rsid w:val="00F5432B"/>
    <w:rsid w:val="00F63D5A"/>
    <w:rsid w:val="00F74237"/>
    <w:rsid w:val="00F80781"/>
    <w:rsid w:val="00F843FD"/>
    <w:rsid w:val="00FA30A9"/>
    <w:rsid w:val="00FB53A4"/>
    <w:rsid w:val="00FB7AC5"/>
    <w:rsid w:val="00FC71A2"/>
    <w:rsid w:val="00FD2102"/>
    <w:rsid w:val="00FD53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7EA"/>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5857EA"/>
    <w:pPr>
      <w:widowControl/>
      <w:spacing w:after="160" w:line="240" w:lineRule="exact"/>
      <w:jc w:val="left"/>
    </w:pPr>
    <w:rPr>
      <w:b/>
      <w:kern w:val="0"/>
      <w:sz w:val="28"/>
      <w:lang w:eastAsia="en-US"/>
    </w:rPr>
  </w:style>
  <w:style w:type="paragraph" w:styleId="a4">
    <w:name w:val="Document Map"/>
    <w:basedOn w:val="a"/>
    <w:link w:val="Char"/>
    <w:uiPriority w:val="99"/>
    <w:semiHidden/>
    <w:unhideWhenUsed/>
    <w:rsid w:val="006521A1"/>
    <w:rPr>
      <w:rFonts w:ascii="宋体"/>
      <w:sz w:val="18"/>
      <w:szCs w:val="18"/>
    </w:rPr>
  </w:style>
  <w:style w:type="character" w:customStyle="1" w:styleId="Char">
    <w:name w:val="文档结构图 Char"/>
    <w:basedOn w:val="a0"/>
    <w:link w:val="a4"/>
    <w:uiPriority w:val="99"/>
    <w:semiHidden/>
    <w:rsid w:val="006521A1"/>
    <w:rPr>
      <w:rFonts w:ascii="宋体" w:eastAsia="宋体" w:hAnsi="Times New Roman" w:cs="Times New Roman"/>
      <w:sz w:val="18"/>
      <w:szCs w:val="18"/>
    </w:rPr>
  </w:style>
  <w:style w:type="paragraph" w:styleId="a5">
    <w:name w:val="header"/>
    <w:basedOn w:val="a"/>
    <w:link w:val="Char0"/>
    <w:uiPriority w:val="99"/>
    <w:semiHidden/>
    <w:unhideWhenUsed/>
    <w:rsid w:val="00B87D3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B87D3B"/>
    <w:rPr>
      <w:rFonts w:ascii="Times New Roman" w:eastAsia="宋体" w:hAnsi="Times New Roman" w:cs="Times New Roman"/>
      <w:sz w:val="18"/>
      <w:szCs w:val="18"/>
    </w:rPr>
  </w:style>
  <w:style w:type="paragraph" w:styleId="a6">
    <w:name w:val="footer"/>
    <w:basedOn w:val="a"/>
    <w:link w:val="Char1"/>
    <w:uiPriority w:val="99"/>
    <w:semiHidden/>
    <w:unhideWhenUsed/>
    <w:rsid w:val="00B87D3B"/>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B87D3B"/>
    <w:rPr>
      <w:rFonts w:ascii="Times New Roman" w:eastAsia="宋体" w:hAnsi="Times New Roman" w:cs="Times New Roman"/>
      <w:sz w:val="18"/>
      <w:szCs w:val="18"/>
    </w:rPr>
  </w:style>
  <w:style w:type="paragraph" w:styleId="a7">
    <w:name w:val="footnote text"/>
    <w:basedOn w:val="a"/>
    <w:link w:val="Char2"/>
    <w:uiPriority w:val="99"/>
    <w:semiHidden/>
    <w:unhideWhenUsed/>
    <w:rsid w:val="00BD5B4A"/>
    <w:pPr>
      <w:snapToGrid w:val="0"/>
      <w:jc w:val="left"/>
    </w:pPr>
    <w:rPr>
      <w:sz w:val="18"/>
      <w:szCs w:val="18"/>
    </w:rPr>
  </w:style>
  <w:style w:type="character" w:customStyle="1" w:styleId="Char2">
    <w:name w:val="脚注文本 Char"/>
    <w:basedOn w:val="a0"/>
    <w:link w:val="a7"/>
    <w:uiPriority w:val="99"/>
    <w:semiHidden/>
    <w:rsid w:val="00BD5B4A"/>
    <w:rPr>
      <w:rFonts w:ascii="Times New Roman" w:eastAsia="宋体" w:hAnsi="Times New Roman" w:cs="Times New Roman"/>
      <w:sz w:val="18"/>
      <w:szCs w:val="18"/>
    </w:rPr>
  </w:style>
  <w:style w:type="character" w:styleId="a8">
    <w:name w:val="footnote reference"/>
    <w:basedOn w:val="a0"/>
    <w:uiPriority w:val="99"/>
    <w:semiHidden/>
    <w:unhideWhenUsed/>
    <w:rsid w:val="00BD5B4A"/>
    <w:rPr>
      <w:vertAlign w:val="superscript"/>
    </w:rPr>
  </w:style>
  <w:style w:type="paragraph" w:styleId="a9">
    <w:name w:val="Balloon Text"/>
    <w:basedOn w:val="a"/>
    <w:link w:val="Char3"/>
    <w:uiPriority w:val="99"/>
    <w:semiHidden/>
    <w:unhideWhenUsed/>
    <w:rsid w:val="007C1AF1"/>
    <w:rPr>
      <w:sz w:val="18"/>
      <w:szCs w:val="18"/>
    </w:rPr>
  </w:style>
  <w:style w:type="character" w:customStyle="1" w:styleId="Char3">
    <w:name w:val="批注框文本 Char"/>
    <w:basedOn w:val="a0"/>
    <w:link w:val="a9"/>
    <w:uiPriority w:val="99"/>
    <w:semiHidden/>
    <w:rsid w:val="007C1AF1"/>
    <w:rPr>
      <w:rFonts w:ascii="Times New Roman" w:eastAsia="宋体" w:hAnsi="Times New Roman" w:cs="Times New Roman"/>
      <w:sz w:val="18"/>
      <w:szCs w:val="18"/>
    </w:rPr>
  </w:style>
  <w:style w:type="character" w:styleId="aa">
    <w:name w:val="Placeholder Text"/>
    <w:basedOn w:val="a0"/>
    <w:uiPriority w:val="99"/>
    <w:semiHidden/>
    <w:rsid w:val="00C25922"/>
    <w:rPr>
      <w:color w:val="808080"/>
    </w:rPr>
  </w:style>
  <w:style w:type="paragraph" w:styleId="ab">
    <w:name w:val="endnote text"/>
    <w:basedOn w:val="a"/>
    <w:link w:val="Char4"/>
    <w:uiPriority w:val="99"/>
    <w:semiHidden/>
    <w:unhideWhenUsed/>
    <w:rsid w:val="001F1048"/>
    <w:pPr>
      <w:snapToGrid w:val="0"/>
      <w:jc w:val="left"/>
    </w:pPr>
  </w:style>
  <w:style w:type="character" w:customStyle="1" w:styleId="Char4">
    <w:name w:val="尾注文本 Char"/>
    <w:basedOn w:val="a0"/>
    <w:link w:val="ab"/>
    <w:uiPriority w:val="99"/>
    <w:semiHidden/>
    <w:rsid w:val="001F1048"/>
    <w:rPr>
      <w:rFonts w:ascii="Times New Roman" w:hAnsi="Times New Roman"/>
      <w:kern w:val="2"/>
      <w:sz w:val="21"/>
      <w:szCs w:val="24"/>
    </w:rPr>
  </w:style>
  <w:style w:type="character" w:styleId="ac">
    <w:name w:val="endnote reference"/>
    <w:basedOn w:val="a0"/>
    <w:uiPriority w:val="99"/>
    <w:semiHidden/>
    <w:unhideWhenUsed/>
    <w:rsid w:val="001F1048"/>
    <w:rPr>
      <w:vertAlign w:val="superscript"/>
    </w:rPr>
  </w:style>
</w:styles>
</file>

<file path=word/webSettings.xml><?xml version="1.0" encoding="utf-8"?>
<w:webSettings xmlns:r="http://schemas.openxmlformats.org/officeDocument/2006/relationships" xmlns:w="http://schemas.openxmlformats.org/wordprocessingml/2006/main">
  <w:divs>
    <w:div w:id="289239569">
      <w:bodyDiv w:val="1"/>
      <w:marLeft w:val="0"/>
      <w:marRight w:val="0"/>
      <w:marTop w:val="0"/>
      <w:marBottom w:val="0"/>
      <w:divBdr>
        <w:top w:val="none" w:sz="0" w:space="0" w:color="auto"/>
        <w:left w:val="none" w:sz="0" w:space="0" w:color="auto"/>
        <w:bottom w:val="none" w:sz="0" w:space="0" w:color="auto"/>
        <w:right w:val="none" w:sz="0" w:space="0" w:color="auto"/>
      </w:divBdr>
    </w:div>
    <w:div w:id="369183239">
      <w:bodyDiv w:val="1"/>
      <w:marLeft w:val="0"/>
      <w:marRight w:val="0"/>
      <w:marTop w:val="0"/>
      <w:marBottom w:val="0"/>
      <w:divBdr>
        <w:top w:val="none" w:sz="0" w:space="0" w:color="auto"/>
        <w:left w:val="none" w:sz="0" w:space="0" w:color="auto"/>
        <w:bottom w:val="none" w:sz="0" w:space="0" w:color="auto"/>
        <w:right w:val="none" w:sz="0" w:space="0" w:color="auto"/>
      </w:divBdr>
    </w:div>
    <w:div w:id="806898603">
      <w:bodyDiv w:val="1"/>
      <w:marLeft w:val="0"/>
      <w:marRight w:val="0"/>
      <w:marTop w:val="0"/>
      <w:marBottom w:val="0"/>
      <w:divBdr>
        <w:top w:val="none" w:sz="0" w:space="0" w:color="auto"/>
        <w:left w:val="none" w:sz="0" w:space="0" w:color="auto"/>
        <w:bottom w:val="none" w:sz="0" w:space="0" w:color="auto"/>
        <w:right w:val="none" w:sz="0" w:space="0" w:color="auto"/>
      </w:divBdr>
    </w:div>
    <w:div w:id="910240608">
      <w:bodyDiv w:val="1"/>
      <w:marLeft w:val="0"/>
      <w:marRight w:val="0"/>
      <w:marTop w:val="0"/>
      <w:marBottom w:val="0"/>
      <w:divBdr>
        <w:top w:val="none" w:sz="0" w:space="0" w:color="auto"/>
        <w:left w:val="none" w:sz="0" w:space="0" w:color="auto"/>
        <w:bottom w:val="none" w:sz="0" w:space="0" w:color="auto"/>
        <w:right w:val="none" w:sz="0" w:space="0" w:color="auto"/>
      </w:divBdr>
    </w:div>
    <w:div w:id="932664182">
      <w:bodyDiv w:val="1"/>
      <w:marLeft w:val="0"/>
      <w:marRight w:val="0"/>
      <w:marTop w:val="0"/>
      <w:marBottom w:val="0"/>
      <w:divBdr>
        <w:top w:val="none" w:sz="0" w:space="0" w:color="auto"/>
        <w:left w:val="none" w:sz="0" w:space="0" w:color="auto"/>
        <w:bottom w:val="none" w:sz="0" w:space="0" w:color="auto"/>
        <w:right w:val="none" w:sz="0" w:space="0" w:color="auto"/>
      </w:divBdr>
    </w:div>
    <w:div w:id="1394158534">
      <w:bodyDiv w:val="1"/>
      <w:marLeft w:val="0"/>
      <w:marRight w:val="0"/>
      <w:marTop w:val="0"/>
      <w:marBottom w:val="0"/>
      <w:divBdr>
        <w:top w:val="none" w:sz="0" w:space="0" w:color="auto"/>
        <w:left w:val="none" w:sz="0" w:space="0" w:color="auto"/>
        <w:bottom w:val="none" w:sz="0" w:space="0" w:color="auto"/>
        <w:right w:val="none" w:sz="0" w:space="0" w:color="auto"/>
      </w:divBdr>
    </w:div>
    <w:div w:id="1475295666">
      <w:bodyDiv w:val="1"/>
      <w:marLeft w:val="0"/>
      <w:marRight w:val="0"/>
      <w:marTop w:val="0"/>
      <w:marBottom w:val="0"/>
      <w:divBdr>
        <w:top w:val="none" w:sz="0" w:space="0" w:color="auto"/>
        <w:left w:val="none" w:sz="0" w:space="0" w:color="auto"/>
        <w:bottom w:val="none" w:sz="0" w:space="0" w:color="auto"/>
        <w:right w:val="none" w:sz="0" w:space="0" w:color="auto"/>
      </w:divBdr>
    </w:div>
    <w:div w:id="1520729826">
      <w:bodyDiv w:val="1"/>
      <w:marLeft w:val="0"/>
      <w:marRight w:val="0"/>
      <w:marTop w:val="0"/>
      <w:marBottom w:val="0"/>
      <w:divBdr>
        <w:top w:val="none" w:sz="0" w:space="0" w:color="auto"/>
        <w:left w:val="none" w:sz="0" w:space="0" w:color="auto"/>
        <w:bottom w:val="none" w:sz="0" w:space="0" w:color="auto"/>
        <w:right w:val="none" w:sz="0" w:space="0" w:color="auto"/>
      </w:divBdr>
    </w:div>
    <w:div w:id="1717242898">
      <w:bodyDiv w:val="1"/>
      <w:marLeft w:val="0"/>
      <w:marRight w:val="0"/>
      <w:marTop w:val="0"/>
      <w:marBottom w:val="0"/>
      <w:divBdr>
        <w:top w:val="none" w:sz="0" w:space="0" w:color="auto"/>
        <w:left w:val="none" w:sz="0" w:space="0" w:color="auto"/>
        <w:bottom w:val="none" w:sz="0" w:space="0" w:color="auto"/>
        <w:right w:val="none" w:sz="0" w:space="0" w:color="auto"/>
      </w:divBdr>
    </w:div>
    <w:div w:id="209978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0FCFA4-4261-4D33-B5EA-B94B59BDD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7209</Words>
  <Characters>9662</Characters>
  <Application>Microsoft Office Word</Application>
  <DocSecurity>0</DocSecurity>
  <Lines>966</Lines>
  <Paragraphs>1124</Paragraphs>
  <ScaleCrop>false</ScaleCrop>
  <Company>cz</Company>
  <LinksUpToDate>false</LinksUpToDate>
  <CharactersWithSpaces>15747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dc:creator>
  <cp:lastModifiedBy>cai</cp:lastModifiedBy>
  <cp:revision>5</cp:revision>
  <cp:lastPrinted>2018-09-23T15:10:00Z</cp:lastPrinted>
  <dcterms:created xsi:type="dcterms:W3CDTF">2018-12-14T03:31:00Z</dcterms:created>
  <dcterms:modified xsi:type="dcterms:W3CDTF">2018-12-14T03:42:00Z</dcterms:modified>
</cp:coreProperties>
</file>